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kern w:val="0"/>
          <w:sz w:val="24"/>
          <w:szCs w:val="24"/>
          <w:lang w:val="en-GB"/>
          <w14:ligatures w14:val="none"/>
        </w:rPr>
        <w:id w:val="1350601636"/>
        <w:docPartObj>
          <w:docPartGallery w:val="Cover Pages"/>
          <w:docPartUnique/>
        </w:docPartObj>
      </w:sdtPr>
      <w:sdtEndPr>
        <w:rPr>
          <w:lang w:val="hu-HU"/>
        </w:rPr>
      </w:sdtEndPr>
      <w:sdtContent>
        <w:p w14:paraId="4156145D" w14:textId="77777777" w:rsidR="000B4BDA" w:rsidRPr="005C4DFF" w:rsidRDefault="000B4BDA" w:rsidP="000B4BDA">
          <w:pPr>
            <w:spacing w:after="0" w:line="312" w:lineRule="auto"/>
            <w:jc w:val="both"/>
            <w:rPr>
              <w:rFonts w:ascii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</w:pPr>
          <w:r w:rsidRPr="005C4DFF">
            <w:rPr>
              <w:rFonts w:ascii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16F4A4A" wp14:editId="3581DC9D">
                    <wp:simplePos x="0" y="0"/>
                    <wp:positionH relativeFrom="page">
                      <wp:posOffset>454018</wp:posOffset>
                    </wp:positionH>
                    <wp:positionV relativeFrom="page">
                      <wp:posOffset>488950</wp:posOffset>
                    </wp:positionV>
                    <wp:extent cx="6843720" cy="8628452"/>
                    <wp:effectExtent l="0" t="0" r="0" b="1270"/>
                    <wp:wrapNone/>
                    <wp:docPr id="48" name="Csoport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43720" cy="8628452"/>
                              <a:chOff x="9518" y="0"/>
                              <a:chExt cx="6843720" cy="8628452"/>
                            </a:xfrm>
                          </wpg:grpSpPr>
                          <wpg:grpSp>
                            <wpg:cNvPr id="55" name="Csoport 2"/>
                            <wpg:cNvGrpSpPr/>
                            <wpg:grpSpPr>
                              <a:xfrm>
                                <a:off x="2524125" y="0"/>
                                <a:ext cx="4329113" cy="4491038"/>
                                <a:chOff x="0" y="0"/>
                                <a:chExt cx="4329113" cy="4491038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56" name="Szabadkézi sokszög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775" y="0"/>
                                  <a:ext cx="2827338" cy="2835275"/>
                                </a:xfrm>
                                <a:custGeom>
                                  <a:avLst/>
                                  <a:gdLst>
                                    <a:gd name="T0" fmla="*/ 4 w 1781"/>
                                    <a:gd name="T1" fmla="*/ 1786 h 1786"/>
                                    <a:gd name="T2" fmla="*/ 0 w 1781"/>
                                    <a:gd name="T3" fmla="*/ 1782 h 1786"/>
                                    <a:gd name="T4" fmla="*/ 1776 w 1781"/>
                                    <a:gd name="T5" fmla="*/ 0 h 1786"/>
                                    <a:gd name="T6" fmla="*/ 1781 w 1781"/>
                                    <a:gd name="T7" fmla="*/ 5 h 1786"/>
                                    <a:gd name="T8" fmla="*/ 4 w 1781"/>
                                    <a:gd name="T9" fmla="*/ 1786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81" h="1786">
                                      <a:moveTo>
                                        <a:pt x="4" y="1786"/>
                                      </a:moveTo>
                                      <a:lnTo>
                                        <a:pt x="0" y="1782"/>
                                      </a:lnTo>
                                      <a:lnTo>
                                        <a:pt x="1776" y="0"/>
                                      </a:lnTo>
                                      <a:lnTo>
                                        <a:pt x="1781" y="5"/>
                                      </a:lnTo>
                                      <a:lnTo>
                                        <a:pt x="4" y="178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" name="Szabadkézi sokszög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637" y="227013"/>
                                  <a:ext cx="3546475" cy="3546475"/>
                                </a:xfrm>
                                <a:custGeom>
                                  <a:avLst/>
                                  <a:gdLst>
                                    <a:gd name="T0" fmla="*/ 5 w 2234"/>
                                    <a:gd name="T1" fmla="*/ 2234 h 2234"/>
                                    <a:gd name="T2" fmla="*/ 0 w 2234"/>
                                    <a:gd name="T3" fmla="*/ 2229 h 2234"/>
                                    <a:gd name="T4" fmla="*/ 2229 w 2234"/>
                                    <a:gd name="T5" fmla="*/ 0 h 2234"/>
                                    <a:gd name="T6" fmla="*/ 2234 w 2234"/>
                                    <a:gd name="T7" fmla="*/ 5 h 2234"/>
                                    <a:gd name="T8" fmla="*/ 5 w 2234"/>
                                    <a:gd name="T9" fmla="*/ 2234 h 2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34" h="2234">
                                      <a:moveTo>
                                        <a:pt x="5" y="2234"/>
                                      </a:moveTo>
                                      <a:lnTo>
                                        <a:pt x="0" y="2229"/>
                                      </a:lnTo>
                                      <a:lnTo>
                                        <a:pt x="2229" y="0"/>
                                      </a:lnTo>
                                      <a:lnTo>
                                        <a:pt x="2234" y="5"/>
                                      </a:lnTo>
                                      <a:lnTo>
                                        <a:pt x="5" y="2234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" name="Szabadkézi sokszög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375" y="109538"/>
                                  <a:ext cx="3487738" cy="3487738"/>
                                </a:xfrm>
                                <a:custGeom>
                                  <a:avLst/>
                                  <a:gdLst>
                                    <a:gd name="T0" fmla="*/ 9 w 2197"/>
                                    <a:gd name="T1" fmla="*/ 2197 h 2197"/>
                                    <a:gd name="T2" fmla="*/ 0 w 2197"/>
                                    <a:gd name="T3" fmla="*/ 2193 h 2197"/>
                                    <a:gd name="T4" fmla="*/ 2188 w 2197"/>
                                    <a:gd name="T5" fmla="*/ 0 h 2197"/>
                                    <a:gd name="T6" fmla="*/ 2197 w 2197"/>
                                    <a:gd name="T7" fmla="*/ 10 h 2197"/>
                                    <a:gd name="T8" fmla="*/ 9 w 2197"/>
                                    <a:gd name="T9" fmla="*/ 2197 h 2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97" h="2197">
                                      <a:moveTo>
                                        <a:pt x="9" y="2197"/>
                                      </a:moveTo>
                                      <a:lnTo>
                                        <a:pt x="0" y="2193"/>
                                      </a:lnTo>
                                      <a:lnTo>
                                        <a:pt x="2188" y="0"/>
                                      </a:lnTo>
                                      <a:lnTo>
                                        <a:pt x="2197" y="10"/>
                                      </a:lnTo>
                                      <a:lnTo>
                                        <a:pt x="9" y="219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9" name="Szabadkézi sokszög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025" y="498475"/>
                                  <a:ext cx="3113088" cy="3121025"/>
                                </a:xfrm>
                                <a:custGeom>
                                  <a:avLst/>
                                  <a:gdLst>
                                    <a:gd name="T0" fmla="*/ 9 w 1961"/>
                                    <a:gd name="T1" fmla="*/ 1966 h 1966"/>
                                    <a:gd name="T2" fmla="*/ 0 w 1961"/>
                                    <a:gd name="T3" fmla="*/ 1957 h 1966"/>
                                    <a:gd name="T4" fmla="*/ 1952 w 1961"/>
                                    <a:gd name="T5" fmla="*/ 0 h 1966"/>
                                    <a:gd name="T6" fmla="*/ 1961 w 1961"/>
                                    <a:gd name="T7" fmla="*/ 9 h 1966"/>
                                    <a:gd name="T8" fmla="*/ 9 w 1961"/>
                                    <a:gd name="T9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61" h="1966">
                                      <a:moveTo>
                                        <a:pt x="9" y="1966"/>
                                      </a:moveTo>
                                      <a:lnTo>
                                        <a:pt x="0" y="1957"/>
                                      </a:lnTo>
                                      <a:lnTo>
                                        <a:pt x="1952" y="0"/>
                                      </a:lnTo>
                                      <a:lnTo>
                                        <a:pt x="1961" y="9"/>
                                      </a:lnTo>
                                      <a:lnTo>
                                        <a:pt x="9" y="19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0" name="Szabadkézi sokszög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3988"/>
                                  <a:ext cx="4329113" cy="4337050"/>
                                </a:xfrm>
                                <a:custGeom>
                                  <a:avLst/>
                                  <a:gdLst>
                                    <a:gd name="T0" fmla="*/ 0 w 2727"/>
                                    <a:gd name="T1" fmla="*/ 2732 h 2732"/>
                                    <a:gd name="T2" fmla="*/ 0 w 2727"/>
                                    <a:gd name="T3" fmla="*/ 2728 h 2732"/>
                                    <a:gd name="T4" fmla="*/ 2722 w 2727"/>
                                    <a:gd name="T5" fmla="*/ 0 h 2732"/>
                                    <a:gd name="T6" fmla="*/ 2727 w 2727"/>
                                    <a:gd name="T7" fmla="*/ 5 h 2732"/>
                                    <a:gd name="T8" fmla="*/ 0 w 2727"/>
                                    <a:gd name="T9" fmla="*/ 2732 h 27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27" h="2732">
                                      <a:moveTo>
                                        <a:pt x="0" y="2732"/>
                                      </a:moveTo>
                                      <a:lnTo>
                                        <a:pt x="0" y="2728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727" y="5"/>
                                      </a:lnTo>
                                      <a:lnTo>
                                        <a:pt x="0" y="2732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61" name="Szövegdoboz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35585E" w14:textId="77777777" w:rsidR="000B4BDA" w:rsidRDefault="000B4BDA" w:rsidP="000B4BDA">
                                  <w:pPr>
                                    <w:pStyle w:val="Nincstrkz"/>
                                    <w:spacing w:before="120"/>
                                    <w:jc w:val="center"/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516F4A4A" id="Csoport 48" o:spid="_x0000_s1026" style="position:absolute;left:0;text-align:left;margin-left:35.75pt;margin-top:38.5pt;width:538.9pt;height:679.4pt;z-index:-251657216;mso-position-horizontal-relative:page;mso-position-vertical-relative:page" coordorigin="95" coordsize="68437,8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">
                    <v:group id="Csoport 2" o:spid="_x0000_s1027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Szabadkézi sokszög 56" o:spid="_x0000_s1028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<v:path arrowok="t" o:connecttype="custom" o:connectlocs="6350,2835275;0,2828925;2819400,0;2827338,7938;6350,2835275" o:connectangles="0,0,0,0,0"/>
                      </v:shape>
                      <v:shape id="Szabadkézi sokszög 57" o:spid="_x0000_s1029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<v:path arrowok="t" o:connecttype="custom" o:connectlocs="7938,3546475;0,3538538;3538538,0;3546475,7938;7938,3546475" o:connectangles="0,0,0,0,0"/>
                      </v:shape>
                      <v:shape id="Szabadkézi sokszög 58" o:spid="_x0000_s1030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<v:path arrowok="t" o:connecttype="custom" o:connectlocs="14288,3487738;0,3481388;3473450,0;3487738,15875;14288,3487738" o:connectangles="0,0,0,0,0"/>
                      </v:shape>
                      <v:shape id="Szabadkézi sokszög 59" o:spid="_x0000_s1031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<v:path arrowok="t" o:connecttype="custom" o:connectlocs="14288,3121025;0,3106738;3098800,0;3113088,14288;14288,3121025" o:connectangles="0,0,0,0,0"/>
                      </v:shape>
                      <v:shape id="Szabadkézi sokszög 60" o:spid="_x0000_s1032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<v:path arrowok="t" o:connecttype="custom" o:connectlocs="0,4337050;0,4330700;4321175,0;4329113,7938;0,4337050" o:connectangles="0,0,0,0,0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61" o:spid="_x0000_s1033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p w14:paraId="2E35585E" w14:textId="77777777" w:rsidR="000B4BDA" w:rsidRDefault="000B4BDA" w:rsidP="000B4BDA">
                            <w:pPr>
                              <w:pStyle w:val="Nincstrkz"/>
                              <w:spacing w:before="120"/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p w14:paraId="1E580E3A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2683C3" w14:textId="59EC43D9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</w:pPr>
      <w:r w:rsidRPr="005C4DFF"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  <w:t>GENE</w:t>
      </w:r>
      <w:r w:rsidR="00345091" w:rsidRPr="005C4DFF"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  <w:t>Z</w:t>
      </w:r>
      <w:r w:rsidRPr="005C4DFF"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  <w:t>IS</w:t>
      </w:r>
      <w:r w:rsidR="00E72834" w:rsidRPr="005C4DFF"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  <w:t xml:space="preserve"> KIVÁLÓSÁGI</w:t>
      </w:r>
    </w:p>
    <w:p w14:paraId="6799AE9F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smallCaps/>
          <w:color w:val="0070C0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smallCaps/>
          <w:color w:val="0070C0"/>
          <w:kern w:val="0"/>
          <w:sz w:val="24"/>
          <w:szCs w:val="24"/>
          <w:lang w:val="en-GB"/>
          <w14:ligatures w14:val="none"/>
        </w:rPr>
        <w:t>DIÁKMŰHELY</w:t>
      </w:r>
    </w:p>
    <w:p w14:paraId="0DCD015A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noProof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51F943CF" wp14:editId="62AB2EB2">
            <wp:extent cx="5760720" cy="5760720"/>
            <wp:effectExtent l="0" t="0" r="0" b="0"/>
            <wp:docPr id="1" name="Kép 1" descr="A képen szimbólum, embléma, címerpajzs, jelv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imbólum, embléma, címerpajzs, jelvén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89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D4296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445E1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DB12E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71846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F25F9A" w14:textId="77777777" w:rsidR="000B4BDA" w:rsidRPr="005C4DFF" w:rsidRDefault="000B4BDA" w:rsidP="000B4BD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0D3F1291" w14:textId="21105D01" w:rsidR="000B4BDA" w:rsidRPr="005C4DFF" w:rsidRDefault="000B4BDA" w:rsidP="000B4BDA">
      <w:pPr>
        <w:keepNext/>
        <w:keepLines/>
        <w:spacing w:after="0" w:line="312" w:lineRule="auto"/>
        <w:jc w:val="both"/>
        <w:outlineLvl w:val="0"/>
        <w:rPr>
          <w:rFonts w:ascii="Times New Roman" w:eastAsiaTheme="majorEastAsia" w:hAnsi="Times New Roman" w:cs="Times New Roman"/>
          <w:color w:val="2F5496" w:themeColor="accent1" w:themeShade="BF"/>
          <w:kern w:val="0"/>
          <w:sz w:val="24"/>
          <w:szCs w:val="24"/>
          <w14:ligatures w14:val="none"/>
        </w:rPr>
      </w:pPr>
      <w:bookmarkStart w:id="0" w:name="_Toc136507977"/>
      <w:r w:rsidRPr="005C4DFF">
        <w:rPr>
          <w:rFonts w:ascii="Times New Roman" w:eastAsiaTheme="majorEastAsia" w:hAnsi="Times New Roman" w:cs="Times New Roman"/>
          <w:color w:val="2F5496" w:themeColor="accent1" w:themeShade="BF"/>
          <w:kern w:val="0"/>
          <w:sz w:val="24"/>
          <w:szCs w:val="24"/>
          <w14:ligatures w14:val="none"/>
        </w:rPr>
        <w:lastRenderedPageBreak/>
        <w:t>Alapszabály</w:t>
      </w:r>
      <w:bookmarkEnd w:id="0"/>
    </w:p>
    <w:p w14:paraId="543E8E24" w14:textId="77777777" w:rsidR="00DF12F9" w:rsidRPr="005C4DFF" w:rsidRDefault="00DF12F9" w:rsidP="000B4BD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F72A80" w14:textId="3C27E6E8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Pázmány Péter Katolikus Egyetem Egyetemi Tanácsa a nemzeti felsőoktatásról szóló 2011. évi CCIV. törvény,</w:t>
      </w:r>
      <w:r w:rsidR="00D032CA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valamint az Egyetem Statútumában</w:t>
      </w:r>
      <w:r w:rsidRPr="005C4DFF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foglaltakra is figyelemmel a </w:t>
      </w:r>
    </w:p>
    <w:p w14:paraId="032677D3" w14:textId="7918E79D" w:rsidR="000B4BDA" w:rsidRPr="005C4DFF" w:rsidRDefault="00FA0432" w:rsidP="000B4BDA">
      <w:pPr>
        <w:spacing w:before="240" w:after="0" w:line="312" w:lineRule="auto"/>
        <w:jc w:val="center"/>
        <w:rPr>
          <w:rFonts w:ascii="Times New Roman" w:hAnsi="Times New Roman" w:cs="Times New Roman"/>
          <w:b/>
          <w:bCs/>
          <w:smallCaps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b/>
          <w:bCs/>
          <w:smallCaps/>
          <w:kern w:val="0"/>
          <w:sz w:val="24"/>
          <w:szCs w:val="24"/>
          <w14:ligatures w14:val="none"/>
        </w:rPr>
        <w:t>GENEZIS</w:t>
      </w:r>
      <w:r w:rsidR="000B4BDA" w:rsidRPr="005C4DFF">
        <w:rPr>
          <w:rFonts w:ascii="Times New Roman" w:hAnsi="Times New Roman" w:cs="Times New Roman"/>
          <w:b/>
          <w:bCs/>
          <w:smallCaps/>
          <w:kern w:val="0"/>
          <w:sz w:val="24"/>
          <w:szCs w:val="24"/>
          <w14:ligatures w14:val="none"/>
        </w:rPr>
        <w:t xml:space="preserve"> DIÁKMŰHELY</w:t>
      </w:r>
    </w:p>
    <w:p w14:paraId="75CF8EEC" w14:textId="77777777" w:rsidR="000B4BDA" w:rsidRPr="005C4DFF" w:rsidRDefault="000B4BDA" w:rsidP="000B4BDA">
      <w:pPr>
        <w:spacing w:after="240" w:line="312" w:lineRule="auto"/>
        <w:jc w:val="center"/>
        <w:rPr>
          <w:rFonts w:ascii="Times New Roman" w:hAnsi="Times New Roman" w:cs="Times New Roman"/>
          <w:b/>
          <w:bCs/>
          <w:smallCaps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b/>
          <w:bCs/>
          <w:smallCaps/>
          <w:kern w:val="0"/>
          <w:sz w:val="24"/>
          <w:szCs w:val="24"/>
          <w14:ligatures w14:val="none"/>
        </w:rPr>
        <w:t>alapszabályát</w:t>
      </w:r>
    </w:p>
    <w:p w14:paraId="6DFA95E4" w14:textId="77777777" w:rsidR="00DF12F9" w:rsidRPr="005C4DFF" w:rsidRDefault="00DF12F9" w:rsidP="000B4BDA">
      <w:pPr>
        <w:spacing w:after="0" w:line="312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AAF98F" w14:textId="7EDFE253" w:rsidR="000B4BDA" w:rsidRPr="005C4DFF" w:rsidRDefault="000B4BDA" w:rsidP="000B4BDA">
      <w:pPr>
        <w:spacing w:after="0" w:line="312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és annak keretében feladatait, céljait a következőképpen határozza meg:</w:t>
      </w:r>
    </w:p>
    <w:p w14:paraId="26BE28E9" w14:textId="77777777" w:rsidR="00DF12F9" w:rsidRPr="005C4DFF" w:rsidRDefault="00DF12F9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CA2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PREAMBULUM</w:t>
      </w:r>
    </w:p>
    <w:p w14:paraId="68FA64D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FA9CD6" w14:textId="34A7A6C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32A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KIVÁLÓSÁGI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DIÁKMŰHELY a Pázmány Péter Katolikus Egyetem Szent II. János Pál Pápa Kutatóközpont Teremtésvédelmi Kutatóintézetének hallgatói önképző szervezete. </w:t>
      </w:r>
    </w:p>
    <w:p w14:paraId="715FA1B2" w14:textId="63366079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Elsődleges célja a teremtésvédelem Magna Chartája, Ferenc pápa Laudato Sí! enciklikájának szellemiségét megismertetni, terjeszteni és a társadalomtudományok kutatásaiban megjelentetni.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32A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KIVÁLÓSÁGI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 a Pázmány Péter Katolikus Egyetemmel aktív hallgatói jogviszonyban álló nappali tagozatos hallgatók szellemi és közösségi műhelyeként működik</w:t>
      </w:r>
      <w:r w:rsidR="00B8424B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és nyitott más egyetemek – elsősorban a Nemzeti Közszolgálati Egyetem – hallgatóinak fogadására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A DIÁKMŰHELY magas színvonalú szakmai képzést folytató, közösségformáló, autonóm intézmény, melynek célja társadalmi – különösen a teremtésvédelmi - problémákra nyitott, szakmailag naprakész keresztény értelmiség, kutató közösség képzése, kinevelése.</w:t>
      </w:r>
    </w:p>
    <w:p w14:paraId="6487C4D4" w14:textId="4C7BE513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DIÁKMŰHELY céljait a hallgatói öntevékenységre épülő előadás-sorozatok, kurzusok, viták szervezésével, és a vélemények sokszínűségét biztosító nyilvánosság megteremtésével, közös keresztény-konzervatív értékeken alapuló tudományos kutatás kereteinek kiépítésével éri el.</w:t>
      </w:r>
    </w:p>
    <w:p w14:paraId="4796DEEB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ÁLTALÁNOS RÉSZ</w:t>
      </w:r>
    </w:p>
    <w:p w14:paraId="01F2B86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99623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jelen szabályzat hatálya</w:t>
      </w:r>
    </w:p>
    <w:p w14:paraId="3259E28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§</w:t>
      </w:r>
    </w:p>
    <w:p w14:paraId="3D5419E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(1) A szabályzat tárgyi hatálya kiterjed az Pázmány Péter Katolikus Egyetem (a továbbiakban:</w:t>
      </w:r>
    </w:p>
    <w:p w14:paraId="5E7289FC" w14:textId="25973418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Egyetem) által alapított és fenntartott PPKE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932A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KIVÁLÓSÁGI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</w:t>
      </w:r>
      <w:r w:rsidR="000932A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 (a továbbiakban: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DIÁKMŰHELY).</w:t>
      </w:r>
    </w:p>
    <w:p w14:paraId="6B2464E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Jelen Szabályzat személyi hatálya alatt műhelytag: az a hallgató, aki a DIÁKMŰHELY tagja.</w:t>
      </w:r>
    </w:p>
    <w:p w14:paraId="6E40FD3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3FF3E3" w14:textId="3AFFC3AD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feladata</w:t>
      </w:r>
    </w:p>
    <w:p w14:paraId="067C268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§</w:t>
      </w:r>
    </w:p>
    <w:p w14:paraId="63DDF0F0" w14:textId="5A74111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az Egyetem fenntartásában működő, egyetemi tulajdonú ingatlanban működik, a Jog- és Államtudomány Kar Környezetjogi és Versenyjogi Tanszékén (1088 Budapest, Szentkirályi u. 28. III. emelet)</w:t>
      </w:r>
    </w:p>
    <w:p w14:paraId="54710B5E" w14:textId="609D5838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a felsőfokú tanulmányaikat folytató műhelytagok számára</w:t>
      </w:r>
    </w:p>
    <w:p w14:paraId="0FCDE95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 segítséget nyújt a teremtésvédelemmel összefüggésbe hozható tanulmányaik folytatásához (lehetőséget nyújt a hallgatók önképzéséhez, tehetségük kibontakozásához, felelős értelmiségivé válásához, művelődésükhöz), továbbá</w:t>
      </w:r>
    </w:p>
    <w:p w14:paraId="697E9B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az egyes, teremtésvédelmi szakterületeken mélyebb ismereteket ad át részükre.</w:t>
      </w:r>
    </w:p>
    <w:p w14:paraId="3917F4B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140F55" w14:textId="48C9007E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SZERVEZETI ÉS MŰKÖDÉSI ALAPELVEI</w:t>
      </w:r>
    </w:p>
    <w:p w14:paraId="079D1D9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84673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Szakmaiság</w:t>
      </w:r>
    </w:p>
    <w:p w14:paraId="3F79A35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§</w:t>
      </w:r>
    </w:p>
    <w:p w14:paraId="387D31EE" w14:textId="62013FA6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működésének célja, hogy a tagok szakmai felkészültségét minden lehetséges eszközzel elősegítse. E célból minden rendelkezésére álló eszközzel elősegíti tagjainak tanulmányait és ismereteinek bővítését. A műhelytagnak kötelessége, hogy tanulmányait felelősségteljesen és az Egyetemhez, valamint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DIÁKMŰHELYHEZ méltó módon teljesítse, továbbá, hogy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képzési rendszerében részt vegyen.</w:t>
      </w:r>
    </w:p>
    <w:p w14:paraId="35F136B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CC568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Tájékozottság és szellemiség</w:t>
      </w:r>
    </w:p>
    <w:p w14:paraId="1721642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§</w:t>
      </w:r>
    </w:p>
    <w:p w14:paraId="770BC21F" w14:textId="750AD62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célja művelt, idegen nyelveket beszélő, széles látókörű, teremtésvédelemmel összefüggő témakörökben tájékozott műhelytagok nevelése. Tagjai a teremtésvédelem iránt elkötelezett, az Egyetem értékrendjét tiszteletben tartó hallgatók.</w:t>
      </w:r>
    </w:p>
    <w:p w14:paraId="19231893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7275D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Önállóság, kezdeményezés</w:t>
      </w:r>
    </w:p>
    <w:p w14:paraId="2C20EE3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§</w:t>
      </w:r>
    </w:p>
    <w:p w14:paraId="06606850" w14:textId="2ACB708D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célja, hogy tagjaiban az önálló gondolkodást, kezdeményezőkészséget elősegítse, kutatómunkájuk eredményeinek írásba foglalását fejlessze, a teremtésvédelmi szemléletet erősítse, ,terjessze.</w:t>
      </w:r>
    </w:p>
    <w:p w14:paraId="3B8E89D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4B19E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Felelősség</w:t>
      </w:r>
    </w:p>
    <w:p w14:paraId="6A2E9FF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§</w:t>
      </w:r>
    </w:p>
    <w:p w14:paraId="19BBC523" w14:textId="16A216EA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célja, hogy tagjaiban a felelősségvállalás szellemét fejlessze.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minden tagja és minden csoportvezetője, vezetője felelősséggel tartozik kötelezettségei megszegéséért, illetve jogaival való visszaélésért.</w:t>
      </w:r>
    </w:p>
    <w:p w14:paraId="5386939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D9442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Közösség</w:t>
      </w:r>
    </w:p>
    <w:p w14:paraId="6618516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§</w:t>
      </w:r>
    </w:p>
    <w:p w14:paraId="4DF7AFF6" w14:textId="6F433BFD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célja az Egyetem közösségi életének fejlesztése és védelme. Ennek legfontosabb kerete a Teremésvédelmi Kutatóintézettel való együttműködés és közös munka. </w:t>
      </w:r>
    </w:p>
    <w:p w14:paraId="32265E83" w14:textId="0BA7E1B0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szakmai együttműködést alakít ki az Egyetem Karaival, hallgatói önkormányzataival és környezetvédelemmel foglalkozó diákszervezeteivel. </w:t>
      </w:r>
    </w:p>
    <w:p w14:paraId="0504A1E2" w14:textId="3A94C0A0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</w:t>
      </w:r>
      <w:bookmarkStart w:id="1" w:name="_Hlk128722723"/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1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 kapcsolatot épít más, hasonló szellemiségű egyetemek teremtésvédelmi tevékenységet is folytató diákszervezeteivel.</w:t>
      </w:r>
    </w:p>
    <w:p w14:paraId="1DC309D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(4) A DIÁKMŰHELY kapcsolatot tart a volt műhelytagokkal, akik a szakmai tevékenység megvalósításában segítséget nyújthatnak a vezető koordinálása alapján.</w:t>
      </w:r>
    </w:p>
    <w:p w14:paraId="5E5DFD9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D633F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Költségvetés és anyagi érdekeltség tilalma</w:t>
      </w:r>
    </w:p>
    <w:p w14:paraId="729467B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8. §</w:t>
      </w:r>
    </w:p>
    <w:p w14:paraId="425BC148" w14:textId="4B130D62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önálló költségvetéssel nem rendelkezik. </w:t>
      </w:r>
    </w:p>
    <w:p w14:paraId="5512ACEA" w14:textId="0BCE961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Tevékenysége körében felmerülő költségeit –intézetvezetői, majd rektori mérlegelést és engedélyezést követően – a Teremtésvédelmi Kutatóintézet forrása</w:t>
      </w:r>
      <w:r w:rsidR="00110BC1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3D0655" w:rsidRPr="005C4DFF">
        <w:rPr>
          <w:rStyle w:val="Lbjegyzet-hivatkozs"/>
          <w:rFonts w:ascii="Times New Roman" w:hAnsi="Times New Roman" w:cs="Times New Roman"/>
          <w:kern w:val="0"/>
          <w:sz w:val="24"/>
          <w:szCs w:val="24"/>
          <w14:ligatures w14:val="none"/>
        </w:rPr>
        <w:footnoteReference w:id="2"/>
      </w:r>
      <w:r w:rsidR="00110BC1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ennek hiányában a PPKE központi költségvetése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biztosítja.</w:t>
      </w:r>
    </w:p>
    <w:p w14:paraId="48806AF8" w14:textId="40A3B37B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műhelytagoknak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DIÁKMŰHELYI tagságához anyagi érdeke nem fűződhet, abból anyagi haszna nem származhat. A DIÁKMŰHELYI tagság nem alapulhat anyagi érdekeltségen.</w:t>
      </w:r>
    </w:p>
    <w:p w14:paraId="01947D6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8078C0" w14:textId="77777777" w:rsidR="00D03E2D" w:rsidRPr="005C4DFF" w:rsidRDefault="00D03E2D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9B423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Az alapszabály és a működés nyilvánossága</w:t>
      </w:r>
    </w:p>
    <w:p w14:paraId="374900F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9. §</w:t>
      </w:r>
    </w:p>
    <w:p w14:paraId="06B7E59F" w14:textId="21E9E3D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Az Egyetem központi honlapján külön ponton szerepel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DIÁKMŰHELY, amely -</w:t>
      </w:r>
      <w:r w:rsidR="005C4BD6" w:rsidRPr="005C4DFF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</w:t>
      </w:r>
      <w:r w:rsidR="005C4BD6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 központi Kommunikációs Osztály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közreműködésével - itt teszi nyilvánossá:</w:t>
      </w:r>
    </w:p>
    <w:p w14:paraId="57F0B3F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hatályos alapszabályát;</w:t>
      </w:r>
    </w:p>
    <w:p w14:paraId="4834F534" w14:textId="5D90FAE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a vezető és a csoportvezetők rövid, </w:t>
      </w:r>
      <w:r w:rsidR="00D610F6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és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teremtésvédelemmel kapcsolatos eddigi tevekénységét tartalmazó szakmai útját és hivatalos elérhetőségét,</w:t>
      </w:r>
    </w:p>
    <w:p w14:paraId="32AFAA00" w14:textId="3162166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tevékenységének nyilvános leírását, szervezett oktatási és tudományos tevékenységét (rendezvényei meghívóit, fotóit, kép- és hanganyagait, kutatási eredményeit, felhívásait, sajtómegjelenését).</w:t>
      </w:r>
    </w:p>
    <w:p w14:paraId="1819A13D" w14:textId="415D03E8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közzétételéről és hozzáférhetőségéről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gondoskodik. </w:t>
      </w:r>
      <w:r w:rsidR="000B7D1D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sajtókommunikáció és a honlap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közzététel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vezetőjének engedélyéhez kötött.</w:t>
      </w:r>
    </w:p>
    <w:p w14:paraId="2A4B4F7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346BD0" w14:textId="0FBE8A7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tevekénységének felügyelete</w:t>
      </w:r>
    </w:p>
    <w:p w14:paraId="4418CD6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 §</w:t>
      </w:r>
    </w:p>
    <w:p w14:paraId="068C9CCC" w14:textId="6B6FF146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igazgatási felügyeletét az Egyetem Szent II. János Pál Pápa Kutatóközpont Teremtésvédelmi Kutatóintézete intézetvezetőjén keresztül az Egyetem rektora látja el.</w:t>
      </w:r>
    </w:p>
    <w:p w14:paraId="5B67F04F" w14:textId="301669DB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szakmai felügyeletét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vezetőjén keresztül a Teremtésvédelmi Kutatóintézet vezetője gyakorolja. A DIÁKMŰHELY vezetője </w:t>
      </w:r>
      <w:r w:rsidR="00C658B0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akadémiai évenként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írásbeli beszámolót készít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tevekénységéről, megvalósult kutatásairól, tervezett tevékenysége előkészítéséről, szakmai kapcsolatairól a Teremtésvédelmi Kutatóintézet vezetője és az Egyetem rektora részére.</w:t>
      </w:r>
    </w:p>
    <w:p w14:paraId="3D7AFB5D" w14:textId="3EE8863F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szakmai csoportjainak munkáját egy-egy csoportvezető koordinálja. Munkájukat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irányítja és felügyeli. A csoportvezetők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részére rendszeres írásbeli beszámolókat készítenek a csoport tevekénységéről, megvalósult kutatásairól, tervezett tevékenységek előkészítéséről, szakmai kapcsolatairól.</w:t>
      </w:r>
    </w:p>
    <w:p w14:paraId="3209F18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82D015" w14:textId="480FD967" w:rsidR="000B4BDA" w:rsidRPr="005C4DFF" w:rsidRDefault="000B4BDA" w:rsidP="00DF12F9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SZERVEZETE</w:t>
      </w:r>
    </w:p>
    <w:p w14:paraId="2F7596E3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2A5376" w14:textId="5A5E717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</w:t>
      </w:r>
    </w:p>
    <w:p w14:paraId="6BD0BD4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 §</w:t>
      </w:r>
    </w:p>
    <w:p w14:paraId="41F9CD05" w14:textId="1AD496C2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DIÁKMŰHELY működését a vezetője irányítja, aki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felelős vezetője, a Teremtésvédelmi Kutatóintézet állandó tudományos </w:t>
      </w:r>
      <w:r w:rsidR="00237FCE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fő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munkatársa.</w:t>
      </w:r>
    </w:p>
    <w:p w14:paraId="273B014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vezető feladatai közé tartozik különösen:</w:t>
      </w:r>
    </w:p>
    <w:p w14:paraId="1DACA6B6" w14:textId="1AC22CC8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az Egyetem és a Teremtésvédelmi Kutatóintézet képviselete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DIÁKMŰHELYBEN és a DIÁKMŰHELY képviselete az Egyetem és a Karok előtt;</w:t>
      </w:r>
    </w:p>
    <w:p w14:paraId="0384442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gondoskodás a szakmai feladatok ellátásáról, a szakmai-tanulmányi és kutató munka előkészítése és koordinálása;</w:t>
      </w:r>
    </w:p>
    <w:p w14:paraId="043729D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a DIÁKMŰHELYI CSOPORTOK munkájának irányítása, gondoskodás a jogszabályok és az egyetemi szabályzatok betartásáról;</w:t>
      </w:r>
    </w:p>
    <w:p w14:paraId="534CF43F" w14:textId="0205DFB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r w:rsidR="00237FCE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akadémiai évenként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írásbeli beszámoló készítése a Teremtésvédelmi Kutatóintézet vezetője és az Egyetem rektora felé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működéséről az alapszabály 12.§-a valamint 13.§ (2) g) pontja szerint;</w:t>
      </w:r>
    </w:p>
    <w:p w14:paraId="4A42F83E" w14:textId="3501AE03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e) kidolgozza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alapszabályát;</w:t>
      </w:r>
    </w:p>
    <w:p w14:paraId="063A36D2" w14:textId="11F005DB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alapszabályát a Teremtésvédelmi Kutatóintézet vezetőjén keresztül az Egyetemi Tanács elé terjeszti;</w:t>
      </w:r>
    </w:p>
    <w:p w14:paraId="0255D708" w14:textId="1B8F16FA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g) kidolgozza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fejlesztési irányát;</w:t>
      </w:r>
    </w:p>
    <w:p w14:paraId="3226FEF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h) a vezető kapcsolatot tart a volt műhelytagokkal, akik a szakmai tevékenység megvalósításában segítséget nyújthatnak a vezető koordinálása alapján.</w:t>
      </w:r>
    </w:p>
    <w:p w14:paraId="1D10E26B" w14:textId="7A1282D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vezetőt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vezetésére a Teremtésvédelmi Kutatóintézet vezetője javaslatára az Egyetem rektora nevezi ki.</w:t>
      </w:r>
    </w:p>
    <w:p w14:paraId="2BCAD753" w14:textId="5D2514DA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(4) A vezető helyettesítését a Teremtésvédelmi Kutatóintézet munkatársa látja el az Egyetem rektorának </w:t>
      </w:r>
      <w:r w:rsidR="00C73CA5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alkalmi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megbízása alapján és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vezetőjének akadályoztatása esetén általa írásban kért ügyek vonatkozásában.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és helyettese kölcsönös tájékoztatás és együttműködés elvét követve teszik akadálytalanná a fenti esetben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működését.</w:t>
      </w:r>
    </w:p>
    <w:p w14:paraId="1FB34453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(5) A vezető joga</w:t>
      </w:r>
    </w:p>
    <w:p w14:paraId="3B50EE5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 felfüggeszteni a DIÁKMŰHELYBEN működő csoport minden olyan tevékenységét, amely jogszabályt, egyetemi szabályzatot vagy a jelen alapszabály etikai előírását sérti;</w:t>
      </w:r>
    </w:p>
    <w:p w14:paraId="2AD405F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képviselni a DIÁKMŰHELYT az Egyetemen belül és kívül kapcsolataiban;</w:t>
      </w:r>
    </w:p>
    <w:p w14:paraId="22F60C2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szükség esetén a DIÁKMŰHELY tagja ellen fegyelmi eljárás indítását javasolni a Teremtésvédelmi Kutatóintézet vezetőjén keresztül a rektornak címezve;</w:t>
      </w:r>
    </w:p>
    <w:p w14:paraId="543D272F" w14:textId="5F17B35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csoport vezetésével visszavonásig megbíz</w:t>
      </w:r>
      <w:r w:rsidR="00131446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az Egyetemmel a PhD képzés által hallgatói jogviszonnyal rendelkező kollégát;</w:t>
      </w:r>
    </w:p>
    <w:p w14:paraId="491508F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e) minden, amit az Egyetem szabályzatai a hatáskörébe utalnak.</w:t>
      </w:r>
    </w:p>
    <w:p w14:paraId="470501B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1F55C5" w14:textId="3BF40193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28738690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csoportvezetője</w:t>
      </w:r>
    </w:p>
    <w:bookmarkEnd w:id="2"/>
    <w:p w14:paraId="1B2A385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12.§</w:t>
      </w:r>
    </w:p>
    <w:p w14:paraId="3DBF356C" w14:textId="1B596A4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csoportvezetője az Egyetemmel PhD képzés által aktív hallgatói jogviszonyban álló kolléga, akit a csoport alapszabály szerinti koordinálására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bíz meg. E tisztségét visszavonásig tölti be.</w:t>
      </w:r>
    </w:p>
    <w:p w14:paraId="6B713A56" w14:textId="5D0B61A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csoportvezetője felügyeli az általa koordinált csoport munkáját, arról a vezetőt tájékoztatja. </w:t>
      </w:r>
    </w:p>
    <w:p w14:paraId="71D7E7BB" w14:textId="6AC0D90D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csoportvezetője, csoportja aktív részvételével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vezetőjének irányításával tudományos szakmai rendezvényeket szervez és kutatás</w:t>
      </w:r>
      <w:r w:rsidR="00FA0344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készít elő.</w:t>
      </w:r>
    </w:p>
    <w:p w14:paraId="02E1DFC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(4) A csoportvezető a vezető felügyeletével koordinálja a csoport tagjainak a Teremtésvédelmi Kutatóintézettel közös munkáját.</w:t>
      </w:r>
    </w:p>
    <w:p w14:paraId="2E51BB77" w14:textId="0C771E6E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(5)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csoportvezetője az alapszabály 12. § (3) bekezdés előírása szerint rendszeres írásbeli beszámolókat készít a csoport tevekénységéről.</w:t>
      </w:r>
    </w:p>
    <w:p w14:paraId="1091A19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F11B23" w14:textId="6818E77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tagja</w:t>
      </w:r>
    </w:p>
    <w:p w14:paraId="65AADC2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13.§ </w:t>
      </w:r>
    </w:p>
    <w:p w14:paraId="66CD17EA" w14:textId="11E23E6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diákműhelytag </w:t>
      </w:r>
    </w:p>
    <w:p w14:paraId="651B51FC" w14:textId="27DAAF4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r w:rsidR="00FA0344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köteles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részt venni a Teremtésvédelmi Kutatóintézet rendezvényein hallgatóságként általánosan, szervezőként a DIÁKMŰHELY vezetőjének megbízása alapján;</w:t>
      </w:r>
    </w:p>
    <w:p w14:paraId="6425128D" w14:textId="139D6D3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b) </w:t>
      </w:r>
      <w:r w:rsidR="00FA0344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köteles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rendezvény szervező és lebonyolító feladatokat ellátni a DIÁKMŰHELY vezetőjének megbízása alapján a Teremtésvédelmi Kutatóintézet rendezvényein, valamint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rendezvényein;</w:t>
      </w:r>
    </w:p>
    <w:p w14:paraId="7D459B89" w14:textId="29064499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r w:rsidR="00FA0344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rendeltetésszerűen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használ</w:t>
      </w:r>
      <w:r w:rsidR="00FA0344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hatja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számára biztosított közös helyiségeket;</w:t>
      </w:r>
    </w:p>
    <w:p w14:paraId="726CE1AF" w14:textId="2AA085C1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d) kutatási-, szervezési munkájához segítséget kérni csoportvezetőjén keresztül vagy közvetlenül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vezetőjétől;</w:t>
      </w:r>
    </w:p>
    <w:p w14:paraId="561AEDC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diákműhelytag köteles</w:t>
      </w:r>
    </w:p>
    <w:p w14:paraId="6221118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 az Egyetem, a Teremtésvédelmi Kutatóintézet és a DIÁKMŰHELY jó hírnevét erősíteni és megőrizni;</w:t>
      </w:r>
    </w:p>
    <w:p w14:paraId="29AB771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a vezető által rábízott feladatot legjobb tudása és szándéka szerint ellátni, a csoportvezetője koordinációs munkáját segíteni;</w:t>
      </w:r>
    </w:p>
    <w:p w14:paraId="3205570C" w14:textId="5DE74D93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c) a diákműhelytag köteles a műhelytagság létrejöttének időpontját követő egy hónapon belül egy kutatási területet választani, amelyben értékelhető kutatási munkát végez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vezetője felügyeletével;</w:t>
      </w:r>
    </w:p>
    <w:p w14:paraId="11E93417" w14:textId="476815A2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minden szemeszter végén kutatásából fél ív terjedelemben beszámoló tanulmányt írni;</w:t>
      </w:r>
    </w:p>
    <w:p w14:paraId="3A8009D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e) 2025. május 31-ig köteles a zárótanulmánya megírására.</w:t>
      </w:r>
    </w:p>
    <w:p w14:paraId="5D06020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DIÁKMŰHELYI tagság a felvételiztető Teremtésvédelmi Kutatóintézet ilyen tartalmú döntése alapján, a döntés kihirdetését követő nappal jön létre. </w:t>
      </w:r>
    </w:p>
    <w:p w14:paraId="4A89861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(4) A Teremtésvédelmi Kutatóintézet a tagjelölt jelentkezését fogadja, amennyiben az alábbi feltételek mindegyikének eleget tesz:</w:t>
      </w:r>
    </w:p>
    <w:p w14:paraId="18EAD4C3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rendelkezik legalább két eredményesen lezárt tanulmányi félévvel;</w:t>
      </w:r>
    </w:p>
    <w:p w14:paraId="03F1089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rendelkezik legalább egy B2 es nyelvvizsgával;</w:t>
      </w:r>
    </w:p>
    <w:p w14:paraId="50E37B32" w14:textId="18487B53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a teremtésvédelmi szemléletet kész követni, világképe a keresztény konzervatív világképpel összeegyeztethető</w:t>
      </w:r>
    </w:p>
    <w:p w14:paraId="0B326DFF" w14:textId="3AF35525" w:rsidR="004A24EC" w:rsidRPr="005C4DFF" w:rsidRDefault="004A24EC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vállalja a zárótanulmány elkészítését.</w:t>
      </w:r>
    </w:p>
    <w:p w14:paraId="41FA0E0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(5) A Teremtésvédelmi Kutatóintézet a szóbeli meghallgatás időpontjáról a tagjelölteket értesíti. </w:t>
      </w:r>
    </w:p>
    <w:p w14:paraId="30F9B6E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(6) A tagjelöltek jelentkezési időszaka végén a Teremtésvédelmi Kutatóintézet munkatársai meghallgatást tartanak, amin értékelik a tagjelölt eddigi szakmai tevekénységét, szorgalmát és világlátását.</w:t>
      </w:r>
    </w:p>
    <w:p w14:paraId="76E9AB6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(7) A tagjelölteket a Teremtésvédelmi Kutatóintézet írásban értesíti tagságuk létrejöttéről és annak kezdő időpontjáról, valamint a tagok további teendőiről.</w:t>
      </w:r>
    </w:p>
    <w:p w14:paraId="7D6099A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(8) A műhelytag tagsága megszűnik:</w:t>
      </w:r>
    </w:p>
    <w:p w14:paraId="7DF48259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 ha a műhelytag hallgatói jogviszonya megszűnt a Karral;</w:t>
      </w:r>
    </w:p>
    <w:p w14:paraId="28397DF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 ha a műhelytag tagságáról írásban lemond – a nyilatkozat megtételének időpontjában,</w:t>
      </w:r>
    </w:p>
    <w:p w14:paraId="40A1C99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illetve a nyilatkozatban meghatározott későbbi időpontban;</w:t>
      </w:r>
    </w:p>
    <w:p w14:paraId="19BF786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 ha a tag a szemeszter végéig nem készíti el a fél íves tanulmányát, illetve 2025. május 31-ig zárótanulmányát;</w:t>
      </w:r>
    </w:p>
    <w:p w14:paraId="617BCDE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 a Tanulmányi Szabályzatban meghatározott esetekben a tagság elvesztésére okot adó súlyos fegyelmi vétség esetén, a jelen alapszabály etikai előírásainak megsértése esetén, a cselekmény vagy esemény időpontjában.</w:t>
      </w:r>
    </w:p>
    <w:p w14:paraId="65961A3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79666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Képzési Program 2025. június 30-ig</w:t>
      </w:r>
    </w:p>
    <w:p w14:paraId="2E5A923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14.§ </w:t>
      </w:r>
    </w:p>
    <w:p w14:paraId="63A88ADE" w14:textId="0FE02A49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36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három vonatkozásban kutatja a teremtésvédelemmel összefüggő kérdéseket. A három területen aktív tagok kutatásai átfedéseket mutatnak, a </w:t>
      </w:r>
      <w:r w:rsidR="005E18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párbeszédnek folyamatos teret biztosít. </w:t>
      </w:r>
    </w:p>
    <w:p w14:paraId="53E451A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hallgatók a három terület valamelyikét választják, minden tag valamely csoport tagjai is egyben. A csoport alá tagozódás a tagsági viszony keletkezését követő egy hónapon belül dől el a tag témaválasztása függvényében. A kutatási csoportok tématerületei közötti átfedések okán csoportváltásra 2024. május 31-ig van lehetőség.</w:t>
      </w:r>
    </w:p>
    <w:p w14:paraId="791D0F7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(3) A 2023, 2024, 2025. években felváltva a három csoport egyike lesz a soros vezető csoport. Eszerint a soros csoport szervezi elsősorban az előadásokat, és mutatja be szakterülete eredményeit.</w:t>
      </w:r>
    </w:p>
    <w:p w14:paraId="6AE730F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4EE4A0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3" w:name="_Toc128744093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Az etikai vonatkozások kutatása</w:t>
      </w:r>
      <w:bookmarkEnd w:id="3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7A5A710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15.§</w:t>
      </w:r>
    </w:p>
    <w:p w14:paraId="590701F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Az etikai csoport a természet- és környezetvédelem elméletét és gyakorlati megvalósulásait kutatja, aminek során feltárja elsősorban a katolikus társadalmi tanítás és egyes világvallások teremtésvédelmi álláspontjait a mélyebb összefüggéseket és erkölcsi alapvetéseket, a vallásközi párbeszéd jegyében. </w:t>
      </w:r>
    </w:p>
    <w:p w14:paraId="7CE2D21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Kiemelt prioritása a katolikus egyház társadalmi tanításának megismertetése és terjesztése, valamint gyakorlati példákhoz kapcsolása és összefüggéseik bemutatása. A bemutató, elemző munkát követően a közös teremtésvédelmi tanítások, közös pontok kimutatása is további célja.</w:t>
      </w:r>
    </w:p>
    <w:p w14:paraId="24A3B8FE" w14:textId="554BD4C9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Toc128744094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(3) Az etikai kutatások</w:t>
      </w:r>
      <w:bookmarkEnd w:id="4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során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aktívan együttműködik a PPKE Hittudományi Karával, az NKE Eötvös József Kutatóközpont Vallás és Társadalom Kutatóintézetével, a PPKE JÁK Környezetjogi- Tanszékével, valamint </w:t>
      </w:r>
      <w:r w:rsidR="0062560F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további, érdeklődő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Tanszék</w:t>
      </w:r>
      <w:r w:rsidR="0062560F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ei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vel.</w:t>
      </w:r>
    </w:p>
    <w:p w14:paraId="37FCB7E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28B5CB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5" w:name="_Toc128744095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jogi kutatás</w:t>
      </w:r>
      <w:bookmarkEnd w:id="5"/>
    </w:p>
    <w:p w14:paraId="35D31D8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16.§ </w:t>
      </w:r>
    </w:p>
    <w:p w14:paraId="7F2012A9" w14:textId="03F4415B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jogi kutató diákműhely csoport vizsgálja a nemzetközi jogban, valamint az Európai Uniós és a hazai jogi szabályozásban jelen lévő bioetikai megfontolásokat, azokat az elemeket, elveket (megelőzés, elővigyázatosság, visszalépés tilalma, társadalmi részvétel, tervezés elve, környezeti információhoz való jog, jövő nemzedékek jogai, stb) valamint </w:t>
      </w:r>
      <w:r w:rsidR="00DF12F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kodifikációs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és jogtechnikai megoldásokat, amelyek a teremtésvédelmet szolgálják. A bemutató, elemző munkát célkitűzések megfogalmazása követheti.</w:t>
      </w:r>
    </w:p>
    <w:p w14:paraId="0C78E910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jogi kutatók aktívan együttműködhetnek a PPKE JÁK Környezetjogi Tanszékével, valamint Jogbölcseleti Tanszékével.</w:t>
      </w:r>
    </w:p>
    <w:p w14:paraId="1591D47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90C8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Toc128744096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gazdasági szabályozó eszközök teremtésvédelmi vonatkozásainak kutatása</w:t>
      </w:r>
      <w:bookmarkEnd w:id="6"/>
    </w:p>
    <w:p w14:paraId="4B60069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17.§ </w:t>
      </w:r>
    </w:p>
    <w:p w14:paraId="3DEA7F1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(1) A gazdasági kutató diákműhely csoport bemutatja és elemzi azokat a nemzetközi és hazai gazdasági és közigazgatási szabályozó eszközöket, továbbá megatrendeket, amelyek a természet- és környezetvédelem gazdasági szabályozásában jelen vannak. Vizsgálja a gazdaságban található értékrendek szerepét, változását, azok fenntarthatóságra gyakorolt hatását.</w:t>
      </w:r>
    </w:p>
    <w:p w14:paraId="68197455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gazdasági vonatkozásokat kutatók aktívan együttműködhetnek a PPKE JÁK Heller Farkas Közgazdaságtudományi Intézetével, valamint a Master of Business Administration képzésének oktatóival és hallgatóival.</w:t>
      </w:r>
    </w:p>
    <w:p w14:paraId="3390D3D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1AEB31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Technikai haladás követése</w:t>
      </w:r>
    </w:p>
    <w:p w14:paraId="61BD90B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18.§</w:t>
      </w:r>
    </w:p>
    <w:p w14:paraId="4065951F" w14:textId="6330F055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tevékenysége során hangsúlyt fektet a legújabb tudományos kutatások, technikai eredmények bemutatására és megvitatására, teremtésvédelmi szemlélet szerint.</w:t>
      </w:r>
    </w:p>
    <w:p w14:paraId="14169B88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nemzetközi és hazai teremtésvédelem tudományos kutatási eredményei, valamint azok szociológiai-gazdasági-társadalmi hátterének felkutatására és megismertetésére minden tagja és kutató csoportja törekszik.</w:t>
      </w:r>
    </w:p>
    <w:p w14:paraId="42597F02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6A37F4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7" w:name="_Toc128744097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képzési program elvégzésének feltétele</w:t>
      </w:r>
      <w:bookmarkEnd w:id="7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BF18FB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19.§</w:t>
      </w:r>
    </w:p>
    <w:p w14:paraId="0D24287E" w14:textId="571CDB6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képzési programja elvégzésének feltétele 2023-2025 között:</w:t>
      </w:r>
    </w:p>
    <w:p w14:paraId="3F3233A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a tag szervező munkában való folyamatos részvétele;</w:t>
      </w:r>
    </w:p>
    <w:p w14:paraId="03F46B42" w14:textId="5D965392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a tag jelenléte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előadásain, rendezvényein és közösségi programjain;</w:t>
      </w:r>
    </w:p>
    <w:p w14:paraId="52C3716E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évente legalább 3 Teremtésvédelmi kutatóintézeti szervező munkában való aktív részvétel;</w:t>
      </w:r>
    </w:p>
    <w:p w14:paraId="2EE37A7B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egy beszámoló cikk elkészítése a saját kutatásáról szemeszterenként 0,5 ív terjedelemben;</w:t>
      </w:r>
    </w:p>
    <w:p w14:paraId="67DE7B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 zárótanulmány elkészítése 2 ív terjedelemben a kutatási területéről.</w:t>
      </w:r>
    </w:p>
    <w:p w14:paraId="5D2C2E47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(2) A zárótanulmányokból kiválasztott magas minőségű munkák publikálására a Teremtésvédelmi Kutatóintézet intézetvezetője részére a DIÁKMŰHELY vezetője javaslatot tesz.</w:t>
      </w:r>
    </w:p>
    <w:p w14:paraId="02F851AF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624BAB" w14:textId="61E67678" w:rsidR="000B4BDA" w:rsidRPr="005C4DFF" w:rsidRDefault="002A0AD2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kiválósági munka értékelése</w:t>
      </w:r>
    </w:p>
    <w:p w14:paraId="54FD8F3A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20. §</w:t>
      </w:r>
    </w:p>
    <w:p w14:paraId="1E6C8612" w14:textId="3CCB148A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</w:t>
      </w:r>
      <w:r w:rsidR="002A0AD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8" w:name="_Hlk136512349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DIÁKMŰHELY</w:t>
      </w:r>
      <w:bookmarkEnd w:id="8"/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 kifejtett jelentős tudományos vagy közösségi tevékenység elismerésére</w:t>
      </w:r>
      <w:r w:rsidR="002A0AD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vagy ha a hallgató jelentős kutató munkájával Tudományos Diákköri Versenyen kimagasló eredményt ért el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0AD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C5466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Teremtésvédelmi Kutatóintézet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0AD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további kutatási lehetőséget biztosít, a Teremtésvédelmi Kutatóintézet anyagi támogatásával.</w:t>
      </w:r>
    </w:p>
    <w:p w14:paraId="3600A2B6" w14:textId="44E84C3E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A Teremtésvédelmi Kutatóintézet </w:t>
      </w:r>
      <w:r w:rsidR="0064235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DIÁKMŰHELY 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vezető</w:t>
      </w:r>
      <w:r w:rsidR="00C5466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 </w:t>
      </w:r>
      <w:r w:rsidR="0064235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73EF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arra</w:t>
      </w:r>
      <w:r w:rsidR="0064235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érdemes személy</w:t>
      </w:r>
      <w:r w:rsidR="00B73EF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támogatására</w:t>
      </w:r>
      <w:r w:rsidR="0064235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javaslatot tesz a </w:t>
      </w:r>
      <w:r w:rsidR="000C779F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Teremtésvédelmi Kutatóintézet vezetőjének</w:t>
      </w:r>
      <w:r w:rsidR="00642359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B73EF8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 támogatandó kutatási lehetőséget a támogatott hallgató szervezi meg a Teremtésvédelmi Kutatóintézettel együttműködve.</w:t>
      </w:r>
    </w:p>
    <w:p w14:paraId="1D3AAC1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E87F70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Etikai előírások</w:t>
      </w:r>
    </w:p>
    <w:p w14:paraId="686DD569" w14:textId="7B28857A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0C779F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§</w:t>
      </w:r>
    </w:p>
    <w:p w14:paraId="58A1025F" w14:textId="3FFBA94B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(1)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tagja, csoportvezetője, vezetője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DIÁKMŰHELYBEN végzett munkája során és azon kívül is köteles tiszteletben tartani és maradéktalanul betartani az Egyetem Statutuma, Szabályzatai, valamint a jelen alapszabály előírásait. </w:t>
      </w:r>
    </w:p>
    <w:p w14:paraId="33E4DF90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(2) Munkáját a teremtésvédelem értékrendjét, különösen a teremtésvédelem Magna Chartája, Ferenc pápa Laudato Sí! enciklikája szellemiségét követve köteles végezni. </w:t>
      </w:r>
    </w:p>
    <w:p w14:paraId="6E61641D" w14:textId="271E1814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(3)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 rendezvényeire előadóként csak olyan vendég hívható meg, aki a fenti előírásoknak megfelel, - a felkérő levéllel együtt erre vonatkozó formalevél aláírásával igazolja, hogy azokat magára nézve kötelezőként fogadja el. </w:t>
      </w:r>
    </w:p>
    <w:p w14:paraId="294A8D58" w14:textId="1CCF739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(4)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DIÁKMŰHELYBEN nincs helye </w:t>
      </w:r>
    </w:p>
    <w:p w14:paraId="2C1D3685" w14:textId="77777777" w:rsidR="000B4BDA" w:rsidRPr="005C4DFF" w:rsidRDefault="000B4BDA" w:rsidP="000B4BDA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politikai szerveződésnek;</w:t>
      </w:r>
    </w:p>
    <w:p w14:paraId="77C16614" w14:textId="77777777" w:rsidR="000B4BDA" w:rsidRPr="005C4DFF" w:rsidRDefault="000B4BDA" w:rsidP="000B4BDA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az Egyetem vezetését, a keresztény-konzervatív értékrendet, valamint a keresztény hitet követőket sértő megnyilatkozásnak;</w:t>
      </w:r>
    </w:p>
    <w:p w14:paraId="5175FE55" w14:textId="77777777" w:rsidR="000B4BDA" w:rsidRPr="005C4DFF" w:rsidRDefault="000B4BDA" w:rsidP="000B4BDA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magyar nemzet tiszteltét sértő megnyilatkozásnak.</w:t>
      </w:r>
    </w:p>
    <w:p w14:paraId="6C815034" w14:textId="37EEC225" w:rsidR="000C779F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(5) A </w:t>
      </w:r>
      <w:r w:rsidR="00FA0432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GENEZIS</w:t>
      </w: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DIÁKMŰHELYBEN végzett szakmai-tudományos és közösségépítő tevékenységek során az abban részt vevők kötelesek a kölcsönös tisztelet és kölcsönös tájékoztatás elvét követő módon együttműködni, öregbítve az Egyetem hírnevét és terjesztve a teremtésvédelem tanításait.</w:t>
      </w:r>
    </w:p>
    <w:p w14:paraId="54720A0C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F85FE0" w14:textId="6065B91C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Budapest, 2023</w:t>
      </w:r>
      <w:r w:rsidR="008C139D"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június 15.</w:t>
      </w:r>
    </w:p>
    <w:p w14:paraId="1482F556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0A995D" w14:textId="77777777" w:rsidR="000B4BDA" w:rsidRPr="005C4DFF" w:rsidRDefault="000B4BDA" w:rsidP="000B4BDA">
      <w:pPr>
        <w:spacing w:after="0" w:line="31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AA7CAB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Dr,. Kuminetz Géza György</w:t>
      </w:r>
    </w:p>
    <w:p w14:paraId="2B7D9DF0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D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rektor</w:t>
      </w:r>
    </w:p>
    <w:p w14:paraId="0D20D6A8" w14:textId="77777777" w:rsidR="000B4BDA" w:rsidRPr="005C4DFF" w:rsidRDefault="000B4BDA" w:rsidP="000B4BDA">
      <w:pPr>
        <w:spacing w:after="0" w:line="312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D7B609" w14:textId="77777777" w:rsidR="000B4BDA" w:rsidRPr="005C4DFF" w:rsidRDefault="000B4BDA" w:rsidP="000B4BD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AA7702" w14:textId="77777777" w:rsidR="00C55266" w:rsidRPr="005C4DFF" w:rsidRDefault="00C55266">
      <w:pPr>
        <w:rPr>
          <w:rFonts w:ascii="Times New Roman" w:hAnsi="Times New Roman" w:cs="Times New Roman"/>
          <w:sz w:val="24"/>
          <w:szCs w:val="24"/>
        </w:rPr>
      </w:pPr>
    </w:p>
    <w:sectPr w:rsidR="00C55266" w:rsidRPr="005C4DFF" w:rsidSect="00A94ADF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1DD4" w14:textId="77777777" w:rsidR="002A1082" w:rsidRDefault="002A1082" w:rsidP="000B4BDA">
      <w:pPr>
        <w:spacing w:after="0" w:line="240" w:lineRule="auto"/>
      </w:pPr>
      <w:r>
        <w:separator/>
      </w:r>
    </w:p>
  </w:endnote>
  <w:endnote w:type="continuationSeparator" w:id="0">
    <w:p w14:paraId="41800A4B" w14:textId="77777777" w:rsidR="002A1082" w:rsidRDefault="002A1082" w:rsidP="000B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482625"/>
      <w:docPartObj>
        <w:docPartGallery w:val="Page Numbers (Bottom of Page)"/>
        <w:docPartUnique/>
      </w:docPartObj>
    </w:sdtPr>
    <w:sdtContent>
      <w:p w14:paraId="3E34BF03" w14:textId="77777777" w:rsidR="00000000" w:rsidRDefault="000000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890A7B1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E13F" w14:textId="77777777" w:rsidR="002A1082" w:rsidRDefault="002A1082" w:rsidP="000B4BDA">
      <w:pPr>
        <w:spacing w:after="0" w:line="240" w:lineRule="auto"/>
      </w:pPr>
      <w:r>
        <w:separator/>
      </w:r>
    </w:p>
  </w:footnote>
  <w:footnote w:type="continuationSeparator" w:id="0">
    <w:p w14:paraId="3C2D30B1" w14:textId="77777777" w:rsidR="002A1082" w:rsidRDefault="002A1082" w:rsidP="000B4BDA">
      <w:pPr>
        <w:spacing w:after="0" w:line="240" w:lineRule="auto"/>
      </w:pPr>
      <w:r>
        <w:continuationSeparator/>
      </w:r>
    </w:p>
  </w:footnote>
  <w:footnote w:id="1">
    <w:p w14:paraId="06D7A411" w14:textId="77777777" w:rsidR="000B4BDA" w:rsidRPr="00D032CA" w:rsidRDefault="000B4BDA" w:rsidP="00D032CA">
      <w:pPr>
        <w:pStyle w:val="Lbjegyzetszveg"/>
        <w:jc w:val="both"/>
        <w:rPr>
          <w:rFonts w:ascii="Times New Roman" w:hAnsi="Times New Roman" w:cs="Times New Roman"/>
        </w:rPr>
      </w:pPr>
      <w:r w:rsidRPr="00D032CA">
        <w:rPr>
          <w:rStyle w:val="Lbjegyzet-hivatkozs"/>
          <w:rFonts w:ascii="Times New Roman" w:hAnsi="Times New Roman" w:cs="Times New Roman"/>
        </w:rPr>
        <w:footnoteRef/>
      </w:r>
      <w:r w:rsidRPr="00D032CA">
        <w:rPr>
          <w:rFonts w:ascii="Times New Roman" w:hAnsi="Times New Roman" w:cs="Times New Roman"/>
        </w:rPr>
        <w:t xml:space="preserve"> A PÁZMÁNY PÉTER KATOLIKUS EGYETEM STATUTUMA Budapest, 2001 Jóváhagyta a Katolikus Nevelés Kongregációja 2001. szeptember 18-án 1151/8. szám alatt</w:t>
      </w:r>
    </w:p>
    <w:p w14:paraId="19BDD454" w14:textId="77777777" w:rsidR="000B4BDA" w:rsidRPr="00D032CA" w:rsidRDefault="00000000" w:rsidP="00D032CA">
      <w:pPr>
        <w:pStyle w:val="Lbjegyzetszveg"/>
        <w:jc w:val="both"/>
        <w:rPr>
          <w:rFonts w:ascii="Times New Roman" w:hAnsi="Times New Roman" w:cs="Times New Roman"/>
        </w:rPr>
      </w:pPr>
      <w:hyperlink r:id="rId1" w:history="1">
        <w:r w:rsidR="000B4BDA" w:rsidRPr="00D032CA">
          <w:rPr>
            <w:rStyle w:val="Hiperhivatkozs"/>
            <w:rFonts w:ascii="Times New Roman" w:hAnsi="Times New Roman" w:cs="Times New Roman"/>
          </w:rPr>
          <w:t>https://ppke.hu/uploads/articles/87727/file/Statutum.pdf</w:t>
        </w:r>
      </w:hyperlink>
    </w:p>
    <w:p w14:paraId="22875E2E" w14:textId="77777777" w:rsidR="000B4BDA" w:rsidRPr="00D032CA" w:rsidRDefault="000B4BDA" w:rsidP="00D032CA">
      <w:pPr>
        <w:pStyle w:val="Lbjegyzetszveg"/>
        <w:jc w:val="both"/>
        <w:rPr>
          <w:rFonts w:ascii="Times New Roman" w:hAnsi="Times New Roman" w:cs="Times New Roman"/>
        </w:rPr>
      </w:pPr>
    </w:p>
  </w:footnote>
  <w:footnote w:id="2">
    <w:p w14:paraId="0F5FD448" w14:textId="3133F8C6" w:rsidR="003D0655" w:rsidRPr="003D0655" w:rsidRDefault="003D0655" w:rsidP="003D0655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D0655">
        <w:rPr>
          <w:lang w:val="hu-HU"/>
        </w:rPr>
        <w:t>a Szent II. János Pál Pápa Kutatóközpont Teremtésvédelmi Kutatóintézete tevékenysége körében, az EKPPF/922/2021-ITM_SZERZ pályázathoz kapcsolódóan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1DFD"/>
    <w:multiLevelType w:val="multilevel"/>
    <w:tmpl w:val="3B4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03E8E"/>
    <w:multiLevelType w:val="hybridMultilevel"/>
    <w:tmpl w:val="D8723A4C"/>
    <w:lvl w:ilvl="0" w:tplc="C7E6616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3185">
    <w:abstractNumId w:val="0"/>
  </w:num>
  <w:num w:numId="2" w16cid:durableId="108838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DA"/>
    <w:rsid w:val="000932A8"/>
    <w:rsid w:val="000B4BDA"/>
    <w:rsid w:val="000B7D1D"/>
    <w:rsid w:val="000C779F"/>
    <w:rsid w:val="00110BC1"/>
    <w:rsid w:val="00131446"/>
    <w:rsid w:val="001C21AB"/>
    <w:rsid w:val="00237FCE"/>
    <w:rsid w:val="002A0AD2"/>
    <w:rsid w:val="002A1082"/>
    <w:rsid w:val="002A1AF2"/>
    <w:rsid w:val="002B75A2"/>
    <w:rsid w:val="002E0186"/>
    <w:rsid w:val="002E39E5"/>
    <w:rsid w:val="00345091"/>
    <w:rsid w:val="003B3E41"/>
    <w:rsid w:val="003D0655"/>
    <w:rsid w:val="004A24EC"/>
    <w:rsid w:val="004A6848"/>
    <w:rsid w:val="005C4BD6"/>
    <w:rsid w:val="005C4DFF"/>
    <w:rsid w:val="005E1881"/>
    <w:rsid w:val="005F2D74"/>
    <w:rsid w:val="0062560F"/>
    <w:rsid w:val="00642359"/>
    <w:rsid w:val="00670E4A"/>
    <w:rsid w:val="00683639"/>
    <w:rsid w:val="007745EF"/>
    <w:rsid w:val="007A1CA1"/>
    <w:rsid w:val="007E2FFE"/>
    <w:rsid w:val="007E690A"/>
    <w:rsid w:val="007F09D8"/>
    <w:rsid w:val="00825E07"/>
    <w:rsid w:val="00831408"/>
    <w:rsid w:val="008B2AB5"/>
    <w:rsid w:val="008C139D"/>
    <w:rsid w:val="009E708B"/>
    <w:rsid w:val="009F2830"/>
    <w:rsid w:val="00A001B7"/>
    <w:rsid w:val="00A23235"/>
    <w:rsid w:val="00A238E1"/>
    <w:rsid w:val="00A240A7"/>
    <w:rsid w:val="00A84D71"/>
    <w:rsid w:val="00AA17AC"/>
    <w:rsid w:val="00B526B5"/>
    <w:rsid w:val="00B73EF8"/>
    <w:rsid w:val="00B8424B"/>
    <w:rsid w:val="00BB058E"/>
    <w:rsid w:val="00C21886"/>
    <w:rsid w:val="00C2711C"/>
    <w:rsid w:val="00C54662"/>
    <w:rsid w:val="00C55266"/>
    <w:rsid w:val="00C658B0"/>
    <w:rsid w:val="00C73CA5"/>
    <w:rsid w:val="00C82088"/>
    <w:rsid w:val="00CB4CB4"/>
    <w:rsid w:val="00D032CA"/>
    <w:rsid w:val="00D03E2D"/>
    <w:rsid w:val="00D610F6"/>
    <w:rsid w:val="00D67A1E"/>
    <w:rsid w:val="00DF12F9"/>
    <w:rsid w:val="00E13293"/>
    <w:rsid w:val="00E15C31"/>
    <w:rsid w:val="00E52529"/>
    <w:rsid w:val="00E72834"/>
    <w:rsid w:val="00F22DD6"/>
    <w:rsid w:val="00FA0344"/>
    <w:rsid w:val="00FA0432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0CA7"/>
  <w15:chartTrackingRefBased/>
  <w15:docId w15:val="{5772EA66-E454-4B93-8396-35866407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5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B4BDA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4BDA"/>
    <w:rPr>
      <w:kern w:val="0"/>
      <w:sz w:val="20"/>
      <w:szCs w:val="20"/>
      <w:lang w:val="en-GB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0B4BD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B4BDA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B4BDA"/>
    <w:pPr>
      <w:tabs>
        <w:tab w:val="center" w:pos="4536"/>
        <w:tab w:val="right" w:pos="9072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0B4BDA"/>
    <w:rPr>
      <w:kern w:val="0"/>
      <w:lang w:val="en-GB"/>
      <w14:ligatures w14:val="none"/>
    </w:rPr>
  </w:style>
  <w:style w:type="paragraph" w:styleId="Nincstrkz">
    <w:name w:val="No Spacing"/>
    <w:link w:val="NincstrkzChar"/>
    <w:uiPriority w:val="1"/>
    <w:qFormat/>
    <w:rsid w:val="000B4BD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B4BDA"/>
    <w:rPr>
      <w:rFonts w:eastAsiaTheme="minorEastAsia"/>
      <w:kern w:val="0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0B4B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B4BDA"/>
    <w:pPr>
      <w:spacing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4BDA"/>
    <w:rPr>
      <w:kern w:val="0"/>
      <w:sz w:val="20"/>
      <w:szCs w:val="20"/>
      <w:lang w:val="en-GB"/>
      <w14:ligatures w14:val="none"/>
    </w:rPr>
  </w:style>
  <w:style w:type="paragraph" w:styleId="Listaszerbekezds">
    <w:name w:val="List Paragraph"/>
    <w:basedOn w:val="Norml"/>
    <w:uiPriority w:val="34"/>
    <w:qFormat/>
    <w:rsid w:val="0034509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3450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8C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C139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ke.hu/uploads/articles/87727/file/Statutum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D368-1112-43A4-B423-4706C3ED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2378</Words>
  <Characters>16412</Characters>
  <Application>Microsoft Office Word</Application>
  <DocSecurity>0</DocSecurity>
  <Lines>136</Lines>
  <Paragraphs>37</Paragraphs>
  <ScaleCrop>false</ScaleCrop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Tahyné Dr. Kovács Ágnes</dc:creator>
  <cp:keywords/>
  <dc:description/>
  <cp:lastModifiedBy>Tahyné Dr. Kovács Ágnes</cp:lastModifiedBy>
  <cp:revision>5</cp:revision>
  <dcterms:created xsi:type="dcterms:W3CDTF">2023-09-05T14:22:00Z</dcterms:created>
  <dcterms:modified xsi:type="dcterms:W3CDTF">2023-09-05T14:24:00Z</dcterms:modified>
</cp:coreProperties>
</file>