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B7" w:rsidRPr="00B31A6F" w:rsidRDefault="00B373B7" w:rsidP="00B373B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bookmarkStart w:id="0" w:name="_GoBack"/>
      <w:bookmarkEnd w:id="0"/>
      <w:r w:rsidRPr="00B31A6F">
        <w:rPr>
          <w:rFonts w:ascii="Times New Roman" w:hAnsi="Times New Roman" w:cs="Times New Roman"/>
          <w:i/>
          <w:sz w:val="24"/>
        </w:rPr>
        <w:t>Minőség a Pázmány Péter Katolikus Egyetemen</w:t>
      </w:r>
    </w:p>
    <w:p w:rsidR="00B373B7" w:rsidRDefault="00B373B7" w:rsidP="00B373B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workshop</w:t>
      </w:r>
    </w:p>
    <w:p w:rsidR="00B373B7" w:rsidRPr="00B31A6F" w:rsidRDefault="00B373B7" w:rsidP="00B373B7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</w:rPr>
      </w:pPr>
      <w:r w:rsidRPr="00B31A6F">
        <w:rPr>
          <w:rFonts w:ascii="Times New Roman" w:hAnsi="Times New Roman" w:cs="Times New Roman"/>
          <w:b/>
          <w:i/>
          <w:sz w:val="24"/>
        </w:rPr>
        <w:t>Felkészülés a doktori iskolai akkreditációs eljárásokra</w:t>
      </w:r>
    </w:p>
    <w:p w:rsidR="00B373B7" w:rsidRDefault="00B373B7" w:rsidP="00B373B7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Kiss Kornélia</w:t>
      </w:r>
    </w:p>
    <w:p w:rsidR="00B373B7" w:rsidRDefault="00B373B7" w:rsidP="00B373B7">
      <w:pPr>
        <w:jc w:val="center"/>
        <w:rPr>
          <w:rFonts w:ascii="Times New Roman" w:hAnsi="Times New Roman" w:cs="Times New Roman"/>
          <w:sz w:val="24"/>
        </w:rPr>
      </w:pPr>
    </w:p>
    <w:p w:rsidR="00B373B7" w:rsidRPr="00B31A6F" w:rsidRDefault="00B373B7" w:rsidP="00B373B7">
      <w:pPr>
        <w:jc w:val="both"/>
        <w:rPr>
          <w:rFonts w:ascii="Times New Roman" w:hAnsi="Times New Roman" w:cs="Times New Roman"/>
          <w:sz w:val="28"/>
        </w:rPr>
      </w:pP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2019 szeptemberében a Bölcsészet- és Társadalomtudományi Kar Doktori és Habilitációs Irodájának vezetőjeként felkérést kaptam Dr. Frivaldszky János és Dr. Szilágyi Csaba rektorhelyettes uraktól az egyetemi doktori akkreditációs folyamatok koordinálására; mint a Kar doktori iskoláinak titkára, valamint mintegy százötven doktoranduszunk tanulmányi osztályvezetője, viszonylag jól átlátom a jelenleg is zajló folyamat sokszínűségét, a felmerülő problémákat és lehetőségeket. 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Igyekeztem kulcsszavakat keresni, amelyek köré felépíthetem ezt a néhány gondolatot. Ezek a kulcsszavak egyrészt magának a teljes akkreditációs folyamatnak a leírására vonatkoznak, másrészt azokat az egyezőségeket, újdonságokat, különbözőségeket érintik, amelyek az akkreditációs dokumentumok frissítése és megírása közben fogalmazódtak meg bennem, harmadrészt a minőségbiztosításra fókuszálnak, ugyanis ez a fogalom a mostani akkreditációs folyamatokban jóval nagyobb súllyal esnek latba, mint korábban. Ezek a kulcsszavak tehát: új szemlélet, teljesítményelv, egységesség, fókuszpontok, értékelhetőség, közös felelősségvállalás. A minőségbiztosítással kapcsolatos újfajta szemléletet, a MAB szerepének a teljesítményelv alapján történő újra értelmezését, a doktori képzés javítását (gondolok itt a nemzetköziesítésre, a tudományos jelleg erősítésére, az ösztöndíjrendszerek szisztematikus egymásra épülésére – ÚNKP</w:t>
      </w:r>
      <w:r>
        <w:rPr>
          <w:rStyle w:val="Lbjegyzet-hivatkozs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) több alapdokumentum is elsőrendű fontosságúnak írja le. 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Írásomban az egyes akkreditációs dokumentumokat veszem sorra, elsősorban abból a szempontból, hogyan függenek össze a minőségbiztosítási folyamatokkal. 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Egyetemünk </w:t>
      </w:r>
      <w:r w:rsidR="004F2CF3">
        <w:rPr>
          <w:rFonts w:ascii="Times New Roman" w:hAnsi="Times New Roman" w:cs="Times New Roman"/>
          <w:sz w:val="24"/>
        </w:rPr>
        <w:t xml:space="preserve">hosszas és bonyolult </w:t>
      </w:r>
      <w:r>
        <w:rPr>
          <w:rFonts w:ascii="Times New Roman" w:hAnsi="Times New Roman" w:cs="Times New Roman"/>
          <w:sz w:val="24"/>
        </w:rPr>
        <w:t xml:space="preserve">intézményi és doktori akkreditációs folyamatokon megy keresztül az elkövetkezendő időben. Ami a doktori akkreditációkat illeti, azokról a doktori iskoláinkról van szó, amelyeknek 2019. december 31-én jár le az akkreditációjuk, nevezetesen a Hittudományi, az Irodalomtudományi, a Jog- és Államtudományi, valamint a Roska Tamás Műszaki és Természettudományi Doktori Iskoláról. A Történelemtudományi Doktori Iskola akkreditációja 2020. július 31-én jár le, tehát a mostani akkreditációs folyamat első szakasza nem érinti (de tavasszal ennek az iskolának is ugyan ezeken a folyamatokon kell majd keresztülmennie, szerencsére könnyebb helyzetben is lesz, mert hasznosíthatja most szerzett tapasztalatainkat), a Nyelvtudományi Doktori Iskola pedig 5 évre megkapta az akkreditációt, 2024. július 19-ig, így nem is vehetett volna most részt a folyamatokban, noha a megszerzett tapasztalat nekik is hasznos lesz az elkövetkezendőkben. 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Lássuk most röviden, mi is az új doktori akkreditációs eljárások strukturális felépítése, és ezen kereteken belül milyen, korábban is meglévő dokumentumokat kellett frissítenünk és átfogalmaznunk, illetve új dokumentumot létrehoznunk, mégpedig a fentebb felsorolt kulcsszavak figyelembevételével.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Magyar Akkreditációs Bizottság nyáron körlevelet küldött a doktori iskolákat működtető magyarországi egyetemeknek; a levél tanúsága szerint az Európai Felsőoktatási Térség 2015-ös minőségbiztosítási irányelvei és sztenderdjei szerint strukturálisan nagyban átalakított, új szempontrendszerek alapján akkreditációs eljárásra 2019. november 30-ig azok a felsőoktatási intézmények</w:t>
      </w:r>
      <w:r w:rsidRPr="0070296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jelentkezhetnek, amelyek doktori iskoláinak akkreditációja 2019. december 31-én lejár, vagy nem rendelkeznek érvényes akkreditációval.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működő doktori iskolák akkreditációs eljárásához a MAB kötelező eljárásrendet alkotott, amelynek főbb szakaszai a következők (összesen öt szakaszról beszélhetünk): </w:t>
      </w:r>
    </w:p>
    <w:p w:rsidR="00B373B7" w:rsidRDefault="00B373B7" w:rsidP="00B373B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szakasz</w:t>
      </w:r>
      <w:r w:rsidRPr="005F42AB">
        <w:rPr>
          <w:rFonts w:ascii="Times New Roman" w:hAnsi="Times New Roman" w:cs="Times New Roman"/>
          <w:b/>
          <w:i/>
          <w:sz w:val="24"/>
        </w:rPr>
        <w:t>: eljárás megindítása</w:t>
      </w:r>
      <w:r>
        <w:rPr>
          <w:rFonts w:ascii="Times New Roman" w:hAnsi="Times New Roman" w:cs="Times New Roman"/>
          <w:sz w:val="24"/>
        </w:rPr>
        <w:t xml:space="preserve">: ebben a szakaszban a törzstagok, oktatók és hallgatók adatfrissítése történik az egyetemi honlapon, valamint az Országos Doktori Adatbázis felületén, illetve ugyan ezekre a felületekre fel kell tölteni a már meglévő akkreditációs dokumentumok hatályos, aktuális változatát (ezek a képzési program, a működési szabályzat, a minőségbiztosítási szabályzat és eljárásrend, valamint a doktori szabályzat). Ezt követően az egyetem rektora akkreditációs kérelmet nyújt be a MAB-hoz, majd harminc napon belül megköti az eljárásra vonatkozó szolgáltatási szerződést a MAB-bal, és megfizeti ennek díját (egy tudományágas doktori iskola esetében, maximum 14 törzstaggal 1.750.000 forint, több </w:t>
      </w:r>
      <w:r>
        <w:rPr>
          <w:rFonts w:ascii="Times New Roman" w:hAnsi="Times New Roman" w:cs="Times New Roman"/>
          <w:sz w:val="24"/>
        </w:rPr>
        <w:lastRenderedPageBreak/>
        <w:t xml:space="preserve">tudományágas iskola esetén minimum 20 törzstaggal 2.250.000 forint az eljárás díja). </w:t>
      </w:r>
    </w:p>
    <w:p w:rsidR="00B373B7" w:rsidRDefault="00B373B7" w:rsidP="00B373B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szakasz: </w:t>
      </w:r>
      <w:r w:rsidRPr="005F42AB">
        <w:rPr>
          <w:rFonts w:ascii="Times New Roman" w:hAnsi="Times New Roman" w:cs="Times New Roman"/>
          <w:b/>
          <w:i/>
          <w:sz w:val="24"/>
        </w:rPr>
        <w:t>önértékelés készítése, formai ellenőrzés, látogató bizottság felállítása</w:t>
      </w:r>
      <w:r>
        <w:rPr>
          <w:rFonts w:ascii="Times New Roman" w:hAnsi="Times New Roman" w:cs="Times New Roman"/>
          <w:sz w:val="24"/>
        </w:rPr>
        <w:t>: a MAB szakreferenst jelöl ki a doktori iskolához, a doktori iskola pedig a szerződésben rögzített határidőre benyújtja önértékelését – ennek az önértékelésnek az elkészítése volt a legnagyobb feladat, ugyanis a korábbi, ötévenkénti önértékeléshez képest egy alapvetően a fentebb említett minőségbiztosítási elveknek alárendelt, 28-30 oldalas dokumentumot kellett létrehozni doktori iskolánként. Mivel teljesen új struktúrában kellett a dokumentumot elkészíteni, ezért itt nagy segítséget kaptunk az egyetem minőségbiztosítási szakembereitől, elsősorban az alapelvek tisztázásában, másodsorban a háromféle, új hallgatói elégedettséget vizsgáló kérdőív elkészítésében, kiküldésében, és a beérkezett kérdőívek szakszerű elemzésében, összegző feldolgozásában. Mindezeket követően a MAB elvégzi a dokumentumok formai ellenőrzését. Amennyiben az eredmény pozitív, látogató bizottságot választ, és megszervezi a látogatást, amely</w:t>
      </w:r>
      <w:r w:rsidRPr="008944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új elemként lép be a doktori képzések tekintetében, hiszen ilyen látogató bizottsági elem csak az intézményi akkreditáció keretében létezett. </w:t>
      </w:r>
    </w:p>
    <w:p w:rsidR="00B373B7" w:rsidRPr="007B2258" w:rsidRDefault="00B373B7" w:rsidP="00B373B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sz w:val="24"/>
        </w:rPr>
        <w:t>szakasz</w:t>
      </w:r>
      <w:r w:rsidRPr="008944AF">
        <w:rPr>
          <w:rFonts w:ascii="Times New Roman" w:hAnsi="Times New Roman" w:cs="Times New Roman"/>
          <w:sz w:val="24"/>
        </w:rPr>
        <w:t>:</w:t>
      </w:r>
      <w:r w:rsidRPr="005F42AB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helyszíni látogatás: </w:t>
      </w:r>
      <w:r w:rsidRPr="007B2258">
        <w:rPr>
          <w:rFonts w:ascii="Times New Roman" w:hAnsi="Times New Roman" w:cs="Times New Roman"/>
          <w:bCs/>
          <w:iCs/>
          <w:sz w:val="24"/>
        </w:rPr>
        <w:t>ebben a szakaszban a kiérkező látogató bizottság a helysz</w:t>
      </w:r>
      <w:r>
        <w:rPr>
          <w:rFonts w:ascii="Times New Roman" w:hAnsi="Times New Roman" w:cs="Times New Roman"/>
          <w:bCs/>
          <w:iCs/>
          <w:sz w:val="24"/>
        </w:rPr>
        <w:t>ínen</w:t>
      </w:r>
      <w:r w:rsidRPr="007B2258">
        <w:rPr>
          <w:rFonts w:ascii="Times New Roman" w:hAnsi="Times New Roman" w:cs="Times New Roman"/>
          <w:bCs/>
          <w:iCs/>
          <w:sz w:val="24"/>
        </w:rPr>
        <w:t xml:space="preserve"> értékeli az önértékelésben </w:t>
      </w:r>
      <w:r>
        <w:rPr>
          <w:rFonts w:ascii="Times New Roman" w:hAnsi="Times New Roman" w:cs="Times New Roman"/>
          <w:bCs/>
          <w:iCs/>
          <w:sz w:val="24"/>
        </w:rPr>
        <w:t xml:space="preserve">és a többi dokumentumban </w:t>
      </w:r>
      <w:r w:rsidRPr="007B2258">
        <w:rPr>
          <w:rFonts w:ascii="Times New Roman" w:hAnsi="Times New Roman" w:cs="Times New Roman"/>
          <w:bCs/>
          <w:iCs/>
          <w:sz w:val="24"/>
        </w:rPr>
        <w:t xml:space="preserve">olvasottakat, összeveti a valósággal, </w:t>
      </w:r>
      <w:r>
        <w:rPr>
          <w:rFonts w:ascii="Times New Roman" w:hAnsi="Times New Roman" w:cs="Times New Roman"/>
          <w:bCs/>
          <w:iCs/>
          <w:sz w:val="24"/>
        </w:rPr>
        <w:t xml:space="preserve">és további információkat szerez a doktori iskoláról. </w:t>
      </w:r>
    </w:p>
    <w:p w:rsidR="00B373B7" w:rsidRDefault="00B373B7" w:rsidP="00B373B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944AF">
        <w:rPr>
          <w:rFonts w:ascii="Times New Roman" w:hAnsi="Times New Roman" w:cs="Times New Roman"/>
          <w:sz w:val="24"/>
        </w:rPr>
        <w:t>szakasz: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5F42AB">
        <w:rPr>
          <w:rFonts w:ascii="Times New Roman" w:hAnsi="Times New Roman" w:cs="Times New Roman"/>
          <w:b/>
          <w:i/>
          <w:sz w:val="24"/>
        </w:rPr>
        <w:t>értékelő jelentés és döntés</w:t>
      </w:r>
      <w:r>
        <w:rPr>
          <w:rFonts w:ascii="Times New Roman" w:hAnsi="Times New Roman" w:cs="Times New Roman"/>
          <w:sz w:val="24"/>
        </w:rPr>
        <w:t>: a látogató bizottság a látogatás után írásos értékelő jelentést készít, amelyet a látogatást követő hatvan napon belül, tíz napos határidővel megküld az intézménynek. A jelentés támogathatja, feltételesen támogathatja, illetve elutasíthatja a kérelmet. Sikeres akkreditáció esetén a MAB igazoló oklevelet és logót küld. Sikertelen akkreditáció esetén leghamarabb egy év elteltével lehet az akkreditációt kérelmezni.</w:t>
      </w:r>
    </w:p>
    <w:p w:rsidR="00B373B7" w:rsidRPr="0070296F" w:rsidRDefault="00B373B7" w:rsidP="00B373B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szakasz: </w:t>
      </w:r>
      <w:r w:rsidRPr="005F42AB">
        <w:rPr>
          <w:rFonts w:ascii="Times New Roman" w:hAnsi="Times New Roman" w:cs="Times New Roman"/>
          <w:b/>
          <w:i/>
          <w:sz w:val="24"/>
        </w:rPr>
        <w:t>visszajelzés, ajánlások, monitor eljárás</w:t>
      </w:r>
      <w:r>
        <w:rPr>
          <w:rFonts w:ascii="Times New Roman" w:hAnsi="Times New Roman" w:cs="Times New Roman"/>
          <w:sz w:val="24"/>
        </w:rPr>
        <w:t>: a MAB kérdőív útján visszajelzést kér a doktori iskola vezetőjétől. A MAB feltételes akkreditáció esetén ajánlásokat tesz, majd monitor eljárás keretében ellenőrzi a végrehajtást. Sikeres akkreditáció esetén a MAB döntést hoz az ötéves akkreditációról, ezt megküldi az intézmény rektorának, a doktori iskola vezetőjének és az Oktatási Hivatalnak.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Az új rendszer leglátványosabb eleme, hogy elsősorban nem formális megfelelőségvizsgálat folyik majd (tehát külön törzstagi, illetve külön doktoriskolai vezetői </w:t>
      </w:r>
      <w:r>
        <w:rPr>
          <w:rFonts w:ascii="Times New Roman" w:hAnsi="Times New Roman" w:cs="Times New Roman"/>
          <w:sz w:val="24"/>
        </w:rPr>
        <w:lastRenderedPageBreak/>
        <w:t xml:space="preserve">ellenőrzést nem végeznek, és az akkreditációs ciklus közben történő változásokról a doktori iskolának nem szükséges a MAB-ot értesítenie), hanem a minőségbiztosítási rendszer felépítésének és működésének behatóbb vizsgálatára, valamint értékelésére helyezik a hangsúlyt. Mindebből a folyamat elején is tisztán látható volt, hogy az egyetemek felelőssége abban elsőrendű, hogyan tudják a több elemből álló dokumentációs rendszert a hangsúlyos minőségbiztosítási céloknak alárendelni, illetve azokba integrálni. 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</w:rPr>
        <w:t xml:space="preserve">Rátérek a konkrét akkreditációs dokumentumaink bemutatására, illetve szeretnék rámutatni arra, milyen központi szerepe van az összes dokumentum előállításában, frissítésében, strukturális egységesítésében a minőségbiztosításnak. Hat dokumentumról van szó, valójában azonban négyről, mert kettő integrálható a többibe: </w:t>
      </w:r>
      <w:r w:rsidRPr="00162C6E">
        <w:rPr>
          <w:rFonts w:ascii="Times New Roman" w:hAnsi="Times New Roman" w:cs="Times New Roman"/>
          <w:sz w:val="24"/>
          <w:szCs w:val="32"/>
        </w:rPr>
        <w:t>Egyetemi Doktori Szabályzat, Működési Szabályzat, Minőségbiztosítási Terv, Képzési Terv, Önértékelés, C-SWOT analízis</w:t>
      </w:r>
      <w:r>
        <w:rPr>
          <w:rFonts w:ascii="Times New Roman" w:hAnsi="Times New Roman" w:cs="Times New Roman"/>
          <w:sz w:val="24"/>
          <w:szCs w:val="32"/>
        </w:rPr>
        <w:t>. A legnagyobb munka az Egyetemi Doktori Szabályzat frissítése, hatályossá tétele volt, ezt – újdonságként – egységes szerkezetben alkottuk meg az összes doktori iskola szintén frissített működési szabályzatával. Itt szeretném megköszönni Czilli Máté és Hajdu Gábor kollégáim áldozatos munkáját, a dokumentumot ugyanis hárman dolgoztuk át. Ezzel, szándékunk szerint, a teljes doktori szabályozás egységessé és könnyebben áttekinthetővé válik. A doktori iskoláknak természetesen lehetőségük van arra is, hogy egyszerű kiemeléssel külön szabályzatban láthatóvá tegyék a saját működési szabályzatukat, az egységes szerkezetű egyetemi szintű szabályzat mellett feltüntetve. A struktúrát és a szakaszolást megőriztük, jogszabályi változásokat vezettünk át, valamint a VII. új fejezetben hangsúlyosan megjelenítettük a doktori képzési folyamatok minőségbiztosításának rendszerét; néhány változtatás azért született, mert tekintettel voltunk a tényleges működésre, valamint az egymásból következő folyamatok logikájára. Végrehajtottunk számos stilisztikai és nyelvi módosítást is. A meglévő minőségbiztosítási terveket strukturálisan és tartalmilag is újra írtuk, az</w:t>
      </w:r>
      <w:r w:rsidRPr="00A21A37">
        <w:rPr>
          <w:rFonts w:ascii="Times New Roman" w:hAnsi="Times New Roman" w:cs="Times New Roman"/>
          <w:sz w:val="24"/>
          <w:szCs w:val="32"/>
        </w:rPr>
        <w:t xml:space="preserve"> egyetemi doktori szabályzat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Pr="00A21A37">
        <w:rPr>
          <w:rFonts w:ascii="Times New Roman" w:hAnsi="Times New Roman" w:cs="Times New Roman"/>
          <w:sz w:val="24"/>
          <w:szCs w:val="32"/>
        </w:rPr>
        <w:t xml:space="preserve">a hatályos jogszabályok, a MAB vonatkozó bírálati szempontrendszere és útmutatói, </w:t>
      </w:r>
      <w:r>
        <w:rPr>
          <w:rFonts w:ascii="Times New Roman" w:hAnsi="Times New Roman" w:cs="Times New Roman"/>
          <w:sz w:val="24"/>
          <w:szCs w:val="32"/>
        </w:rPr>
        <w:t>egyéb MAB-</w:t>
      </w:r>
      <w:r w:rsidRPr="00A21A37">
        <w:rPr>
          <w:rFonts w:ascii="Times New Roman" w:hAnsi="Times New Roman" w:cs="Times New Roman"/>
          <w:sz w:val="24"/>
          <w:szCs w:val="32"/>
        </w:rPr>
        <w:t>dokumentum</w:t>
      </w:r>
      <w:r>
        <w:rPr>
          <w:rFonts w:ascii="Times New Roman" w:hAnsi="Times New Roman" w:cs="Times New Roman"/>
          <w:sz w:val="24"/>
          <w:szCs w:val="32"/>
        </w:rPr>
        <w:t>ok</w:t>
      </w:r>
      <w:r w:rsidRPr="00A21A37">
        <w:rPr>
          <w:rFonts w:ascii="Times New Roman" w:hAnsi="Times New Roman" w:cs="Times New Roman"/>
          <w:sz w:val="24"/>
          <w:szCs w:val="32"/>
        </w:rPr>
        <w:t>, valamint az egyetemi doktori szabályzatnak a minőségbiztosításhoz kapcsolódó irányelvei alapján.</w:t>
      </w:r>
      <w:r>
        <w:rPr>
          <w:rFonts w:ascii="Times New Roman" w:hAnsi="Times New Roman" w:cs="Times New Roman"/>
          <w:sz w:val="24"/>
          <w:szCs w:val="32"/>
        </w:rPr>
        <w:t xml:space="preserve"> Hangsúlyos részt kaptak a minőségbiztosítási elvek érvényesítéséről szóló szakaszok, valamint a dokumentum végén a doktori iskola által megfogalmazott rövid, tömör minőségbiztosítási célok, felelőssel, határidővel. Új C-SWOT analíziseket is írtunk, amelyek kötött struktúrájukban a frissített szemléletet tükrözik, és mellékletként részét képezhetik a minőségbiztosítási tervnek. A frissített, 240 kredites képzéseinkre vonatkozó képzési tervekben is utaltunk a minőségbiztosítási tervben megfogalmazott célok elérésére. Ennél a dokumentumnál szeretnék </w:t>
      </w:r>
      <w:r>
        <w:rPr>
          <w:rFonts w:ascii="Times New Roman" w:hAnsi="Times New Roman" w:cs="Times New Roman"/>
          <w:sz w:val="24"/>
          <w:szCs w:val="32"/>
        </w:rPr>
        <w:lastRenderedPageBreak/>
        <w:t xml:space="preserve">valamit közbevetőleg megjegyezni, ami nagyon fontos eleme a mindenkori akkreditációs folyamat szükségszerű megújításának: 2016. szeptember elseje óta új doktori struktúra szerint működtetjük képzéseinket; a régebbi 180 kredites, 6 féléves képzést 240 kredites, 8 féléves képzés váltotta fel. Ennek az új képzésnek két nagy szakasza van, a képzési szakasz, amelyet a negyedik aktív félév végén az úgynevezett komplex vizsga zár le (ez a korábbi doktori szigorlat megfelelője, azonban most a képzésen belül, annak közepén található, nem pedig a fokozatszerzési eljárás első lépcsője az abszolutórium megszerzése és a fokozatszerzési eljárás iránti kérelem benyújtása és annak EDHT általi elfogadása után), valamint a kutatási szakasz; ebben a második szakaszban javarészt úgynevezett órátlan tanegységeket kell teljesíteni (publikációk készítése, konferenciarészvétel formájában). Újabb strukturális változás, hogy a fokozatszerzési eljárás megindulhat a képzésen belül is, a komplex vizsga sikeres teljesítése után. Az ösztöndíjasok emelt összeget kapnak, ráadásul a komplex vizsga teljesítése után az összeget megemelik. Mindezekből logikusan következett annak az igénye, sőt, elvárása, hogy az új képzési struktúrához új akkreditációs dokumentumokat készítsenek a doktori képzést nyújtó felsőoktatási intézmények. 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Az egyetemi doktori szabályzat mellett a legnagyobb munka az új önértékelések megírása volt. Ahogy fentebb említettem, körülbelül 30 oldalas dokumentumokról van szó, amelyek struktúrájukban teljesen eltérnek a régebbi, ötévenként kötelezően megírandó dokumentumoktól, ugyanis központi szerepet kapott bennük a minőségbiztosítás, a teljesítményelv, valamint az értékelhetőség és átláthatóság. Itt utalok ismételten az elkészült új kérdőívekre, amelyek feldolgozása után értékes és a gyakorlatban is használható következtetéseket tudtunk levonni az önértékelések megírásakor. Az önértékelés két nagy részből áll: az önértékelési szempontrendszerből, valamint a mellékletekből. A mellékletek nem helykitöltésként szolgálnak, hanem – különösen a külföldi és hazai részképzésekről és ösztöndíjakról, valamint a fokozatszerzésről és lemorzsolódásról készült statisztikák  – arra késztettek bennünket, hogy elgondolkozzunk az elmúlt évek sikereiről és kudarcairól egyaránt, valamint segítettek a strukturális szemlélet kialakításában, vagyis a feltett irányított kérdésekre átláthatóbb válaszokat tudtunk adni; ezekben a válaszokban arra is törekedtünk, hogy a többi akkreditációs dokumentummal egységben alkossunk valós képet meglévő képzéseinkről, elvárásainkról, terveinkről, az előttünk álló, és évenként ellenőrizendő, megújítandó minőségbiztosítási céljainkról. 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Összefoglalásképpen elmondható, hogy bár nagy munka közben voltunk és vagyunk, mégis hasznos folyamat indult el egyetemünk szakmai és tudományos életében: ha </w:t>
      </w:r>
      <w:r>
        <w:rPr>
          <w:rFonts w:ascii="Times New Roman" w:hAnsi="Times New Roman" w:cs="Times New Roman"/>
          <w:sz w:val="24"/>
          <w:szCs w:val="32"/>
        </w:rPr>
        <w:lastRenderedPageBreak/>
        <w:t xml:space="preserve">kulcsszavakkal kezdtem, szeretném kulcsszavakkal is befejezni </w:t>
      </w:r>
      <w:r w:rsidR="00A243D5">
        <w:rPr>
          <w:rFonts w:ascii="Times New Roman" w:hAnsi="Times New Roman" w:cs="Times New Roman"/>
          <w:sz w:val="24"/>
          <w:szCs w:val="32"/>
        </w:rPr>
        <w:t>írásomat</w:t>
      </w:r>
      <w:r>
        <w:rPr>
          <w:rFonts w:ascii="Times New Roman" w:hAnsi="Times New Roman" w:cs="Times New Roman"/>
          <w:sz w:val="24"/>
          <w:szCs w:val="32"/>
        </w:rPr>
        <w:t>, ezek pedig a következők: önismeret, képesség a tovább fejlődésre, szervezett közös munka.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Az akkreditáció sikere közös ügyünk, a folyamat elején bíztam doktori iskoláink együttműködésében, és a közös munka során tapasztalhattam, hogyan tudunk a kezdeti kisebb nehézségek után jól és szervezetten együtt dolgozni.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Végezetül szeretném megköszönni a doktori iskolák vezetőinek, hogy a folyamat egészének során komoly vezetői és szakmai munkát végeztek, valamint a doktori iskolák titkárjainak, adminisztrátorainak.  Mindannyiuk tudományos, szakmai és adminisztratív segítsége nélkül négy doktori iskolánk sikeres akkreditációja nem jöhetne létre. </w:t>
      </w: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73B7" w:rsidRPr="00412956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73B7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373B7" w:rsidRPr="00B31A6F" w:rsidRDefault="00B373B7" w:rsidP="00B373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539ED" w:rsidRDefault="006539ED"/>
    <w:sectPr w:rsidR="006539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7F" w:rsidRDefault="005B7F7F" w:rsidP="00B373B7">
      <w:pPr>
        <w:spacing w:after="0" w:line="240" w:lineRule="auto"/>
      </w:pPr>
      <w:r>
        <w:separator/>
      </w:r>
    </w:p>
  </w:endnote>
  <w:endnote w:type="continuationSeparator" w:id="0">
    <w:p w:rsidR="005B7F7F" w:rsidRDefault="005B7F7F" w:rsidP="00B3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7F" w:rsidRDefault="005B7F7F" w:rsidP="00B373B7">
      <w:pPr>
        <w:spacing w:after="0" w:line="240" w:lineRule="auto"/>
      </w:pPr>
      <w:r>
        <w:separator/>
      </w:r>
    </w:p>
  </w:footnote>
  <w:footnote w:type="continuationSeparator" w:id="0">
    <w:p w:rsidR="005B7F7F" w:rsidRDefault="005B7F7F" w:rsidP="00B373B7">
      <w:pPr>
        <w:spacing w:after="0" w:line="240" w:lineRule="auto"/>
      </w:pPr>
      <w:r>
        <w:continuationSeparator/>
      </w:r>
    </w:p>
  </w:footnote>
  <w:footnote w:id="1">
    <w:p w:rsidR="00B373B7" w:rsidRPr="00981996" w:rsidRDefault="00B373B7" w:rsidP="00B373B7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18717F">
        <w:rPr>
          <w:rFonts w:ascii="Times New Roman" w:hAnsi="Times New Roman" w:cs="Times New Roman"/>
        </w:rPr>
        <w:t xml:space="preserve">Egyetemünk </w:t>
      </w:r>
      <w:r>
        <w:rPr>
          <w:rFonts w:ascii="Times New Roman" w:hAnsi="Times New Roman" w:cs="Times New Roman"/>
        </w:rPr>
        <w:t xml:space="preserve">hosszabb kihagyás után </w:t>
      </w:r>
      <w:r w:rsidRPr="0018717F">
        <w:rPr>
          <w:rFonts w:ascii="Times New Roman" w:hAnsi="Times New Roman" w:cs="Times New Roman"/>
        </w:rPr>
        <w:t>két éve vesz részt az Új Nemzeti Kiválóságprogramban, amely lehetővé teszi, hogy MA-képzésben és doktori képzésben részt vevő hallgatóink és doktoranduszai</w:t>
      </w:r>
      <w:r w:rsidR="00351939">
        <w:rPr>
          <w:rFonts w:ascii="Times New Roman" w:hAnsi="Times New Roman" w:cs="Times New Roman"/>
        </w:rPr>
        <w:t>nk, valamint doktorjelöltjeink öt-,</w:t>
      </w:r>
      <w:r w:rsidRPr="0018717F">
        <w:rPr>
          <w:rFonts w:ascii="Times New Roman" w:hAnsi="Times New Roman" w:cs="Times New Roman"/>
        </w:rPr>
        <w:t xml:space="preserve"> illetve </w:t>
      </w:r>
      <w:r w:rsidR="00351939">
        <w:rPr>
          <w:rFonts w:ascii="Times New Roman" w:hAnsi="Times New Roman" w:cs="Times New Roman"/>
        </w:rPr>
        <w:t>tíz</w:t>
      </w:r>
      <w:r w:rsidRPr="0018717F">
        <w:rPr>
          <w:rFonts w:ascii="Times New Roman" w:hAnsi="Times New Roman" w:cs="Times New Roman"/>
        </w:rPr>
        <w:t xml:space="preserve">hónapos kiemelt </w:t>
      </w:r>
      <w:r>
        <w:rPr>
          <w:rFonts w:ascii="Times New Roman" w:hAnsi="Times New Roman" w:cs="Times New Roman"/>
        </w:rPr>
        <w:t xml:space="preserve">összegű </w:t>
      </w:r>
      <w:r w:rsidRPr="0018717F">
        <w:rPr>
          <w:rFonts w:ascii="Times New Roman" w:hAnsi="Times New Roman" w:cs="Times New Roman"/>
        </w:rPr>
        <w:t xml:space="preserve">ösztöndíj </w:t>
      </w:r>
      <w:r w:rsidRPr="00981996">
        <w:rPr>
          <w:rFonts w:ascii="Times New Roman" w:hAnsi="Times New Roman" w:cs="Times New Roman"/>
        </w:rPr>
        <w:t>segítségével tudják tudományos munkájukat megalapozni, valamint tovább</w:t>
      </w:r>
      <w:r>
        <w:rPr>
          <w:rFonts w:ascii="Times New Roman" w:hAnsi="Times New Roman" w:cs="Times New Roman"/>
        </w:rPr>
        <w:t xml:space="preserve"> </w:t>
      </w:r>
      <w:r w:rsidRPr="00981996">
        <w:rPr>
          <w:rFonts w:ascii="Times New Roman" w:hAnsi="Times New Roman" w:cs="Times New Roman"/>
        </w:rPr>
        <w:t>fejleszteni. Ebben a rendszerben is az egymásra épülő képzési- és tudásfolyamatok hasznosságát látom, ami a gyakorlatban azzal mérhető le, hogy ÚNKP-nyertes MA-hallgató</w:t>
      </w:r>
      <w:r>
        <w:rPr>
          <w:rFonts w:ascii="Times New Roman" w:hAnsi="Times New Roman" w:cs="Times New Roman"/>
        </w:rPr>
        <w:t>i</w:t>
      </w:r>
      <w:r w:rsidRPr="00981996">
        <w:rPr>
          <w:rFonts w:ascii="Times New Roman" w:hAnsi="Times New Roman" w:cs="Times New Roman"/>
        </w:rPr>
        <w:t>nk jórésze később doktori képzéseinkre is felvételt nyer</w:t>
      </w:r>
      <w:r>
        <w:rPr>
          <w:rFonts w:ascii="Times New Roman" w:hAnsi="Times New Roman" w:cs="Times New Roman"/>
        </w:rPr>
        <w:t xml:space="preserve">, valamint doktoranduszaink és doktorjelöltjeink könnyebben és magabiztosabban tudnak integrálódni az országos és nemzetközi szakmai közéletbe. Mindez pedig egyetemi minőségbiztosítási céljaink egyik leghasznosabb megvalósulása.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9782443"/>
      <w:docPartObj>
        <w:docPartGallery w:val="Page Numbers (Margins)"/>
        <w:docPartUnique/>
      </w:docPartObj>
    </w:sdtPr>
    <w:sdtEndPr/>
    <w:sdtContent>
      <w:p w:rsidR="00B31A6F" w:rsidRDefault="001343B1">
        <w:pPr>
          <w:pStyle w:val="lfej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E04A97F" wp14:editId="13E76FA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" name="Ellipsz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1A6F" w:rsidRDefault="001343B1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95D79" w:rsidRPr="00895D79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E04A97F" id="Ellipszis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" o:allowincell="f" fillcolor="#9dbb61" stroked="f">
                  <v:textbox inset="0,,0">
                    <w:txbxContent>
                      <w:p w:rsidR="00B31A6F" w:rsidRDefault="001343B1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95D79" w:rsidRPr="00895D79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200A"/>
    <w:multiLevelType w:val="hybridMultilevel"/>
    <w:tmpl w:val="CFD6EDB2"/>
    <w:lvl w:ilvl="0" w:tplc="F3605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B7"/>
    <w:rsid w:val="001343B1"/>
    <w:rsid w:val="00351939"/>
    <w:rsid w:val="004F2CF3"/>
    <w:rsid w:val="005B7F7F"/>
    <w:rsid w:val="006539ED"/>
    <w:rsid w:val="00895D79"/>
    <w:rsid w:val="00A243D5"/>
    <w:rsid w:val="00B3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CF2C-C750-473D-86C3-176308D9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73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7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3B7"/>
  </w:style>
  <w:style w:type="character" w:styleId="Oldalszm">
    <w:name w:val="page number"/>
    <w:basedOn w:val="Bekezdsalapbettpusa"/>
    <w:uiPriority w:val="99"/>
    <w:unhideWhenUsed/>
    <w:rsid w:val="00B373B7"/>
  </w:style>
  <w:style w:type="paragraph" w:styleId="Listaszerbekezds">
    <w:name w:val="List Paragraph"/>
    <w:basedOn w:val="Norml"/>
    <w:uiPriority w:val="34"/>
    <w:qFormat/>
    <w:rsid w:val="00B373B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73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73B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7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11634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Kornélia</dc:creator>
  <cp:keywords/>
  <dc:description/>
  <cp:lastModifiedBy>Tigerné Schuller Piroska</cp:lastModifiedBy>
  <cp:revision>2</cp:revision>
  <dcterms:created xsi:type="dcterms:W3CDTF">2019-12-10T11:44:00Z</dcterms:created>
  <dcterms:modified xsi:type="dcterms:W3CDTF">2019-12-10T11:44:00Z</dcterms:modified>
</cp:coreProperties>
</file>